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69" w:rsidRDefault="000B6069" w:rsidP="000B6069">
      <w:pPr>
        <w:pStyle w:val="Title"/>
      </w:pPr>
      <w:r>
        <w:rPr>
          <w:sz w:val="24"/>
        </w:rPr>
        <w:t xml:space="preserve">TEACHING EFFECTIVENESS COMMITTEE </w:t>
      </w:r>
    </w:p>
    <w:p w:rsidR="000B6069" w:rsidRDefault="000B6069" w:rsidP="000B6069">
      <w:pPr>
        <w:jc w:val="center"/>
      </w:pPr>
      <w:r>
        <w:rPr>
          <w:b/>
        </w:rPr>
        <w:t>TEACHING AWARD</w:t>
      </w:r>
    </w:p>
    <w:p w:rsidR="000B6069" w:rsidRDefault="000B6069" w:rsidP="000B6069">
      <w:pPr>
        <w:jc w:val="center"/>
      </w:pPr>
      <w:r>
        <w:rPr>
          <w:b/>
        </w:rPr>
        <w:t>UNIVERSITY OF LETHBRIDGE</w:t>
      </w:r>
    </w:p>
    <w:p w:rsidR="000B6069" w:rsidRDefault="000B6069" w:rsidP="000B6069">
      <w:pPr>
        <w:pStyle w:val="Heading2"/>
      </w:pPr>
    </w:p>
    <w:p w:rsidR="000B6069" w:rsidRPr="000B6069" w:rsidRDefault="000B6069" w:rsidP="000B6069">
      <w:pPr>
        <w:pStyle w:val="Heading2"/>
        <w:rPr>
          <w:u w:val="none"/>
        </w:rPr>
      </w:pPr>
      <w:r>
        <w:rPr>
          <w:b/>
        </w:rPr>
        <w:t>Eligibility</w:t>
      </w:r>
    </w:p>
    <w:p w:rsidR="000B6069" w:rsidRPr="001614DC" w:rsidRDefault="000B6069" w:rsidP="00AF7D15">
      <w:pPr>
        <w:pStyle w:val="ListParagraph"/>
        <w:numPr>
          <w:ilvl w:val="0"/>
          <w:numId w:val="5"/>
        </w:numPr>
      </w:pPr>
      <w:r>
        <w:t xml:space="preserve">The award will be open to University of Lethbridge continuing and sessional faculty members teaching Faculty of Management courses. The award </w:t>
      </w:r>
      <w:r w:rsidRPr="001614DC">
        <w:t>is open to all academic staff, including continuing, limited term and sessional instructors, teaching Faculty of management courses at the University of Lethbridge</w:t>
      </w:r>
    </w:p>
    <w:p w:rsidR="000B6069" w:rsidRPr="001614DC" w:rsidRDefault="000B6069" w:rsidP="000B6069">
      <w:pPr>
        <w:numPr>
          <w:ilvl w:val="0"/>
          <w:numId w:val="5"/>
        </w:numPr>
      </w:pPr>
      <w:r>
        <w:t xml:space="preserve">The faculty member must have taught at the University of Lethbridge over two consecutive years (any of our campuses – Edmonton, Calgary and Lethbridge). </w:t>
      </w:r>
      <w:r w:rsidRPr="001614DC">
        <w:t>The candidate must have taught courses over past two consecutive years at any of our three campuses</w:t>
      </w:r>
    </w:p>
    <w:p w:rsidR="000B6069" w:rsidRDefault="000B6069" w:rsidP="000B6069">
      <w:pPr>
        <w:numPr>
          <w:ilvl w:val="0"/>
          <w:numId w:val="5"/>
        </w:numPr>
        <w:ind w:left="0" w:firstLine="1080"/>
      </w:pPr>
      <w:r>
        <w:t xml:space="preserve">Winners of the award in the last three years are not eligible for the award. </w:t>
      </w:r>
    </w:p>
    <w:p w:rsidR="000B6069" w:rsidRDefault="000B6069" w:rsidP="000B6069"/>
    <w:p w:rsidR="000B6069" w:rsidRDefault="000B6069" w:rsidP="000B6069">
      <w:pPr>
        <w:pStyle w:val="Heading2"/>
      </w:pPr>
      <w:r>
        <w:rPr>
          <w:b/>
        </w:rPr>
        <w:t>Committee</w:t>
      </w:r>
    </w:p>
    <w:p w:rsidR="000B6069" w:rsidRPr="00EA514C" w:rsidRDefault="00AF7D15" w:rsidP="000B6069">
      <w:pPr>
        <w:spacing w:before="120"/>
        <w:ind w:left="1080"/>
        <w:rPr>
          <w:color w:val="FF0000"/>
        </w:rPr>
      </w:pPr>
      <w:r>
        <w:t>Annually the TEC committee will decide upon on a chair for the TEC award committee (no later than January 31</w:t>
      </w:r>
      <w:r w:rsidRPr="00AF7D15">
        <w:rPr>
          <w:vertAlign w:val="superscript"/>
        </w:rPr>
        <w:t>st</w:t>
      </w:r>
      <w:r w:rsidR="00D85DB0">
        <w:t xml:space="preserve"> in the New Year)</w:t>
      </w:r>
      <w:r>
        <w:t xml:space="preserve">. </w:t>
      </w:r>
      <w:r w:rsidR="000B6069">
        <w:t xml:space="preserve">The Committee will be chaired by a TEC member; the chair will confirm/ensure minimum number of members on the committee. Other members can include (three to five members total): Faculty of Management Teaching Effectiveness Committee, Faculty of Management Advisory Council, Faculty of Management Area Chairs Faculty of Education and the Management Students’ Society. </w:t>
      </w:r>
    </w:p>
    <w:p w:rsidR="000B6069" w:rsidRPr="00EA514C" w:rsidRDefault="000B6069" w:rsidP="000B6069">
      <w:pPr>
        <w:spacing w:before="120"/>
        <w:ind w:left="1080"/>
        <w:rPr>
          <w:color w:val="FF0000"/>
        </w:rPr>
      </w:pPr>
      <w:r>
        <w:t xml:space="preserve">The committee will be </w:t>
      </w:r>
      <w:r w:rsidRPr="001614DC">
        <w:t>composed of:</w:t>
      </w:r>
    </w:p>
    <w:p w:rsidR="000B6069" w:rsidRPr="001614DC" w:rsidRDefault="00AF7D15" w:rsidP="00AF7D15">
      <w:pPr>
        <w:tabs>
          <w:tab w:val="left" w:pos="1080"/>
        </w:tabs>
        <w:spacing w:before="120"/>
        <w:ind w:firstLine="1080"/>
      </w:pPr>
      <w:r>
        <w:t>1. Chair</w:t>
      </w:r>
      <w:r w:rsidR="000B6069" w:rsidRPr="001614DC">
        <w:t xml:space="preserve">: a member </w:t>
      </w:r>
      <w:r>
        <w:t>of the TEC committee</w:t>
      </w:r>
    </w:p>
    <w:p w:rsidR="000B6069" w:rsidRPr="001614DC" w:rsidRDefault="000B6069" w:rsidP="000B6069">
      <w:pPr>
        <w:spacing w:before="120"/>
        <w:ind w:left="360" w:firstLine="720"/>
      </w:pPr>
      <w:r>
        <w:t>2. Members (Maximum of 5</w:t>
      </w:r>
      <w:r w:rsidRPr="001614DC">
        <w:t>)</w:t>
      </w:r>
    </w:p>
    <w:p w:rsidR="000B6069" w:rsidRDefault="000B6069" w:rsidP="000B6069">
      <w:pPr>
        <w:spacing w:before="120"/>
        <w:ind w:left="360"/>
      </w:pPr>
    </w:p>
    <w:p w:rsidR="000B6069" w:rsidRDefault="000B6069" w:rsidP="000B6069">
      <w:pPr>
        <w:numPr>
          <w:ilvl w:val="0"/>
          <w:numId w:val="2"/>
        </w:numPr>
        <w:ind w:left="360" w:hanging="359"/>
      </w:pPr>
      <w:r>
        <w:t xml:space="preserve">The Committee will issue a call for nominations in the beginning of February to close on March 15 each year. </w:t>
      </w:r>
    </w:p>
    <w:p w:rsidR="000B6069" w:rsidRDefault="000B6069" w:rsidP="000B6069">
      <w:pPr>
        <w:numPr>
          <w:ilvl w:val="0"/>
          <w:numId w:val="2"/>
        </w:numPr>
        <w:ind w:left="360" w:hanging="359"/>
      </w:pPr>
      <w:r>
        <w:t>The award will be announced in 3rd week of September.</w:t>
      </w:r>
    </w:p>
    <w:p w:rsidR="000B6069" w:rsidRPr="001614DC" w:rsidRDefault="000B6069" w:rsidP="000B6069">
      <w:pPr>
        <w:numPr>
          <w:ilvl w:val="0"/>
          <w:numId w:val="2"/>
        </w:numPr>
        <w:ind w:left="360" w:hanging="359"/>
      </w:pPr>
      <w:r w:rsidRPr="001614DC">
        <w:t>Nominations are encouraged from current FOM members. This can include sessional, contractual, continuing or permanent FOM appointments.</w:t>
      </w:r>
    </w:p>
    <w:p w:rsidR="000B6069" w:rsidRPr="001614DC" w:rsidRDefault="000B6069" w:rsidP="000B6069">
      <w:pPr>
        <w:numPr>
          <w:ilvl w:val="0"/>
          <w:numId w:val="2"/>
        </w:numPr>
        <w:ind w:left="360" w:hanging="359"/>
      </w:pPr>
      <w:r w:rsidRPr="001614DC">
        <w:t>If a member of the Committee is nominated and that member wishes the nomination to stand, that member should resign. The Committee may decide to continue without replacing that person.</w:t>
      </w:r>
    </w:p>
    <w:p w:rsidR="000B6069" w:rsidRPr="001614DC" w:rsidRDefault="000B6069" w:rsidP="000B6069">
      <w:pPr>
        <w:numPr>
          <w:ilvl w:val="0"/>
          <w:numId w:val="3"/>
        </w:numPr>
        <w:ind w:left="360" w:hanging="359"/>
      </w:pPr>
      <w:r w:rsidRPr="001614DC">
        <w:t>The Committee will normally choose among nominees, but may choose to make no award or to ask that a nomination be brought forward again the next year.</w:t>
      </w:r>
    </w:p>
    <w:p w:rsidR="000B6069" w:rsidRPr="001614DC" w:rsidRDefault="000B6069" w:rsidP="000B6069">
      <w:pPr>
        <w:numPr>
          <w:ilvl w:val="0"/>
          <w:numId w:val="3"/>
        </w:numPr>
        <w:ind w:left="360" w:hanging="359"/>
      </w:pPr>
      <w:r w:rsidRPr="001614DC">
        <w:t xml:space="preserve">Decisions will be by majority vote.  </w:t>
      </w:r>
    </w:p>
    <w:p w:rsidR="000B6069" w:rsidRDefault="000B6069" w:rsidP="000B6069">
      <w:pPr>
        <w:numPr>
          <w:ilvl w:val="0"/>
          <w:numId w:val="3"/>
        </w:numPr>
        <w:ind w:left="360" w:hanging="359"/>
      </w:pPr>
      <w:r w:rsidRPr="001614DC">
        <w:t xml:space="preserve">All decisions are final and are not subject to appeal. </w:t>
      </w:r>
    </w:p>
    <w:p w:rsidR="000B6069" w:rsidRDefault="000B6069" w:rsidP="000B6069"/>
    <w:p w:rsidR="000B6069" w:rsidRDefault="000B6069" w:rsidP="000B6069"/>
    <w:p w:rsidR="000B6069" w:rsidRDefault="000B6069" w:rsidP="000B6069"/>
    <w:p w:rsidR="000B6069" w:rsidRDefault="000B6069" w:rsidP="000B6069"/>
    <w:p w:rsidR="000B6069" w:rsidRDefault="000B6069" w:rsidP="000B6069"/>
    <w:p w:rsidR="000B6069" w:rsidRPr="00EA514C" w:rsidRDefault="000B6069" w:rsidP="000B6069">
      <w:pPr>
        <w:rPr>
          <w:color w:val="FF0000"/>
        </w:rPr>
      </w:pPr>
    </w:p>
    <w:p w:rsidR="000B6069" w:rsidRDefault="000B6069" w:rsidP="000B6069">
      <w:pPr>
        <w:pStyle w:val="Heading3"/>
      </w:pPr>
      <w:r>
        <w:rPr>
          <w:b/>
          <w:sz w:val="24"/>
        </w:rPr>
        <w:t>Nomination Guidelines and Award Criteria</w:t>
      </w:r>
    </w:p>
    <w:p w:rsidR="000B6069" w:rsidRDefault="000B6069" w:rsidP="000B6069">
      <w:pPr>
        <w:spacing w:before="120"/>
      </w:pPr>
      <w:r>
        <w:t>A nomination may include any information the nominator wishes, but at a minimum must include:</w:t>
      </w:r>
    </w:p>
    <w:p w:rsidR="000B6069" w:rsidRDefault="000B6069" w:rsidP="000B6069">
      <w:pPr>
        <w:spacing w:before="120"/>
      </w:pPr>
      <w:r>
        <w:t xml:space="preserve"> </w:t>
      </w:r>
    </w:p>
    <w:p w:rsidR="000B6069" w:rsidRDefault="000B6069" w:rsidP="000B6069">
      <w:pPr>
        <w:numPr>
          <w:ilvl w:val="0"/>
          <w:numId w:val="4"/>
        </w:numPr>
        <w:ind w:left="360" w:hanging="359"/>
      </w:pPr>
      <w:r>
        <w:t>name of the nominee and their eligibility for the award;</w:t>
      </w:r>
    </w:p>
    <w:p w:rsidR="000B6069" w:rsidRDefault="000B6069" w:rsidP="000B6069">
      <w:pPr>
        <w:numPr>
          <w:ilvl w:val="0"/>
          <w:numId w:val="4"/>
        </w:numPr>
        <w:ind w:left="360" w:hanging="359"/>
      </w:pPr>
      <w:r>
        <w:t xml:space="preserve">specification of the teaching period and course(s) that are the basis of the nomination; </w:t>
      </w:r>
    </w:p>
    <w:p w:rsidR="000B6069" w:rsidRDefault="000B6069" w:rsidP="000B6069">
      <w:pPr>
        <w:numPr>
          <w:ilvl w:val="0"/>
          <w:numId w:val="4"/>
        </w:numPr>
        <w:ind w:left="360" w:hanging="359"/>
      </w:pPr>
      <w:r>
        <w:t>a statement by the nominator in support of the nomination (see criteria below), and</w:t>
      </w:r>
    </w:p>
    <w:p w:rsidR="000B6069" w:rsidRDefault="000B6069" w:rsidP="000B6069">
      <w:pPr>
        <w:numPr>
          <w:ilvl w:val="0"/>
          <w:numId w:val="4"/>
        </w:numPr>
        <w:ind w:left="360" w:hanging="359"/>
      </w:pPr>
      <w:proofErr w:type="gramStart"/>
      <w:r>
        <w:t>a</w:t>
      </w:r>
      <w:proofErr w:type="gramEnd"/>
      <w:r>
        <w:t xml:space="preserve"> teaching portfolio from the nominee which includes: course outlines, course evaluations and any other information on teaching that the instructor deems relevant.</w:t>
      </w:r>
    </w:p>
    <w:p w:rsidR="008144BE" w:rsidRPr="00AF7D15" w:rsidRDefault="008144BE" w:rsidP="00C53C2B">
      <w:pPr>
        <w:pStyle w:val="ListParagraph"/>
        <w:numPr>
          <w:ilvl w:val="0"/>
          <w:numId w:val="4"/>
        </w:numPr>
        <w:tabs>
          <w:tab w:val="left" w:pos="360"/>
        </w:tabs>
        <w:ind w:left="360" w:hanging="360"/>
        <w:rPr>
          <w:color w:val="FF0000"/>
        </w:rPr>
      </w:pPr>
      <w:r w:rsidRPr="001614DC">
        <w:t>data collection through various respondents  which could include: peers, students and</w:t>
      </w:r>
      <w:r w:rsidR="00C53C2B">
        <w:t xml:space="preserve"> </w:t>
      </w:r>
      <w:r w:rsidRPr="001614DC">
        <w:t>nominees</w:t>
      </w:r>
      <w:r w:rsidRPr="00AF7D15">
        <w:rPr>
          <w:color w:val="FF0000"/>
        </w:rPr>
        <w:t xml:space="preserve"> </w:t>
      </w:r>
    </w:p>
    <w:p w:rsidR="000B6069" w:rsidRDefault="000B6069" w:rsidP="000B6069">
      <w:pPr>
        <w:spacing w:before="120"/>
      </w:pPr>
      <w:r>
        <w:t>Testimonials from curren</w:t>
      </w:r>
      <w:bookmarkStart w:id="0" w:name="_GoBack"/>
      <w:bookmarkEnd w:id="0"/>
      <w:r>
        <w:t xml:space="preserve">t students and/or alumni are encouraged. </w:t>
      </w:r>
    </w:p>
    <w:p w:rsidR="000B6069" w:rsidRDefault="000B6069" w:rsidP="000B6069">
      <w:pPr>
        <w:spacing w:before="120"/>
      </w:pPr>
    </w:p>
    <w:p w:rsidR="000B6069" w:rsidRDefault="000B6069" w:rsidP="000B6069">
      <w:pPr>
        <w:spacing w:before="120"/>
      </w:pPr>
      <w:r>
        <w:t xml:space="preserve">The TEC Teaching award will be based on superior performance in most of the following criteria: </w:t>
      </w:r>
    </w:p>
    <w:p w:rsidR="000B6069" w:rsidRDefault="000B6069" w:rsidP="000B6069">
      <w:pPr>
        <w:spacing w:before="120"/>
      </w:pPr>
    </w:p>
    <w:p w:rsidR="000B6069" w:rsidRDefault="000B6069" w:rsidP="000B6069">
      <w:pPr>
        <w:numPr>
          <w:ilvl w:val="0"/>
          <w:numId w:val="1"/>
        </w:numPr>
        <w:tabs>
          <w:tab w:val="center" w:pos="4320"/>
          <w:tab w:val="right" w:pos="8640"/>
        </w:tabs>
        <w:ind w:left="0" w:hanging="359"/>
      </w:pPr>
      <w:r>
        <w:t>consistently superior classroom performance;</w:t>
      </w:r>
    </w:p>
    <w:p w:rsidR="000B6069" w:rsidRDefault="000B6069" w:rsidP="000B6069">
      <w:pPr>
        <w:numPr>
          <w:ilvl w:val="0"/>
          <w:numId w:val="1"/>
        </w:numPr>
        <w:tabs>
          <w:tab w:val="center" w:pos="4320"/>
          <w:tab w:val="right" w:pos="8640"/>
        </w:tabs>
        <w:ind w:left="0" w:hanging="359"/>
      </w:pPr>
      <w:r>
        <w:t>applies new educational practices/processes in classroom setting;</w:t>
      </w:r>
    </w:p>
    <w:p w:rsidR="000B6069" w:rsidRDefault="000B6069" w:rsidP="000B6069">
      <w:pPr>
        <w:numPr>
          <w:ilvl w:val="0"/>
          <w:numId w:val="1"/>
        </w:numPr>
        <w:tabs>
          <w:tab w:val="center" w:pos="4320"/>
          <w:tab w:val="right" w:pos="8640"/>
        </w:tabs>
        <w:ind w:left="0" w:hanging="359"/>
      </w:pPr>
      <w:r>
        <w:t>integration of technology to complement/enhance the student learning environment;</w:t>
      </w:r>
    </w:p>
    <w:p w:rsidR="000B6069" w:rsidRDefault="000B6069" w:rsidP="000B6069">
      <w:pPr>
        <w:numPr>
          <w:ilvl w:val="0"/>
          <w:numId w:val="1"/>
        </w:numPr>
        <w:tabs>
          <w:tab w:val="center" w:pos="4320"/>
          <w:tab w:val="right" w:pos="8640"/>
        </w:tabs>
        <w:ind w:left="0" w:hanging="359"/>
      </w:pPr>
      <w:r>
        <w:t>attention to students’ intellectual development, interest and enthusiasm for learning (including outside activities);</w:t>
      </w:r>
    </w:p>
    <w:p w:rsidR="000B6069" w:rsidRDefault="000B6069" w:rsidP="000B6069">
      <w:pPr>
        <w:numPr>
          <w:ilvl w:val="0"/>
          <w:numId w:val="1"/>
        </w:numPr>
        <w:tabs>
          <w:tab w:val="center" w:pos="4320"/>
          <w:tab w:val="right" w:pos="8640"/>
        </w:tabs>
        <w:ind w:left="0" w:hanging="359"/>
      </w:pPr>
      <w:r>
        <w:t>innovation  in course content, paper or web based course materials, cases or project work, or other significant course development;</w:t>
      </w:r>
    </w:p>
    <w:p w:rsidR="000B6069" w:rsidRDefault="000B6069" w:rsidP="000B6069">
      <w:pPr>
        <w:numPr>
          <w:ilvl w:val="0"/>
          <w:numId w:val="1"/>
        </w:numPr>
        <w:tabs>
          <w:tab w:val="center" w:pos="4320"/>
          <w:tab w:val="right" w:pos="8640"/>
        </w:tabs>
        <w:ind w:left="0" w:hanging="359"/>
      </w:pPr>
      <w:r>
        <w:t>presentation of course content and assessments at an appropriate level of rigor;</w:t>
      </w:r>
    </w:p>
    <w:p w:rsidR="000B6069" w:rsidRDefault="000B6069" w:rsidP="000B6069">
      <w:pPr>
        <w:numPr>
          <w:ilvl w:val="0"/>
          <w:numId w:val="1"/>
        </w:numPr>
        <w:tabs>
          <w:tab w:val="center" w:pos="4320"/>
          <w:tab w:val="right" w:pos="8640"/>
        </w:tabs>
        <w:ind w:left="0" w:hanging="359"/>
      </w:pPr>
      <w:r>
        <w:t>excellent course planning, organization, communication and administration; and</w:t>
      </w:r>
    </w:p>
    <w:p w:rsidR="000B6069" w:rsidRDefault="000B6069" w:rsidP="000B6069">
      <w:pPr>
        <w:numPr>
          <w:ilvl w:val="0"/>
          <w:numId w:val="1"/>
        </w:numPr>
        <w:tabs>
          <w:tab w:val="center" w:pos="4320"/>
          <w:tab w:val="right" w:pos="8640"/>
        </w:tabs>
        <w:ind w:left="0" w:hanging="359"/>
      </w:pPr>
      <w:proofErr w:type="gramStart"/>
      <w:r>
        <w:t>other</w:t>
      </w:r>
      <w:proofErr w:type="gramEnd"/>
      <w:r>
        <w:t xml:space="preserve"> contributions the nominator feels are significant, such as being a resource for colleagues, attention to students outside class, recognition by peers outside the University (e.g. awards, presentations, external use of materials), connection of theory to business applications, and providing a basis for students’ success in later courses or in their careers.</w:t>
      </w:r>
    </w:p>
    <w:p w:rsidR="000B6069" w:rsidRDefault="000B6069" w:rsidP="000B6069">
      <w:pPr>
        <w:spacing w:before="120"/>
      </w:pPr>
      <w:r>
        <w:t>The nominator or nominee should specify any material that is confidential or otherwise may not be used by the award committee or the nominee in creating a dossier to be used for other awards.</w:t>
      </w:r>
    </w:p>
    <w:p w:rsidR="00BF5D86" w:rsidRDefault="00BF5D86"/>
    <w:sectPr w:rsidR="00BF5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ACE"/>
    <w:multiLevelType w:val="multilevel"/>
    <w:tmpl w:val="085AC4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0BEB78BD"/>
    <w:multiLevelType w:val="multilevel"/>
    <w:tmpl w:val="7B0AB052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●"/>
      <w:lvlJc w:val="left"/>
      <w:pPr>
        <w:ind w:left="108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187D3A58"/>
    <w:multiLevelType w:val="multilevel"/>
    <w:tmpl w:val="20BC567E"/>
    <w:lvl w:ilvl="0">
      <w:start w:val="1"/>
      <w:numFmt w:val="bullet"/>
      <w:lvlText w:val="●"/>
      <w:lvlJc w:val="left"/>
      <w:pPr>
        <w:ind w:left="1440" w:firstLine="14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1D2A021A"/>
    <w:multiLevelType w:val="multilevel"/>
    <w:tmpl w:val="9F2AAFCE"/>
    <w:lvl w:ilvl="0"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5B5E6E0C"/>
    <w:multiLevelType w:val="multilevel"/>
    <w:tmpl w:val="13D2CD4A"/>
    <w:lvl w:ilvl="0">
      <w:start w:val="1"/>
      <w:numFmt w:val="lowerLetter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69"/>
    <w:rsid w:val="00062069"/>
    <w:rsid w:val="00076589"/>
    <w:rsid w:val="000B6069"/>
    <w:rsid w:val="008144BE"/>
    <w:rsid w:val="00AF7D15"/>
    <w:rsid w:val="00BF5D86"/>
    <w:rsid w:val="00C53C2B"/>
    <w:rsid w:val="00D8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606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en-CA" w:eastAsia="en-CA"/>
    </w:rPr>
  </w:style>
  <w:style w:type="paragraph" w:styleId="Heading2">
    <w:name w:val="heading 2"/>
    <w:basedOn w:val="Normal"/>
    <w:next w:val="Normal"/>
    <w:link w:val="Heading2Char"/>
    <w:rsid w:val="000B6069"/>
    <w:pPr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rsid w:val="000B6069"/>
    <w:pPr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6069"/>
    <w:rPr>
      <w:rFonts w:ascii="Times New Roman" w:eastAsia="Times New Roman" w:hAnsi="Times New Roman" w:cs="Times New Roman"/>
      <w:color w:val="000000"/>
      <w:sz w:val="24"/>
      <w:u w:val="single"/>
      <w:lang w:val="en-CA" w:eastAsia="en-CA"/>
    </w:rPr>
  </w:style>
  <w:style w:type="character" w:customStyle="1" w:styleId="Heading3Char">
    <w:name w:val="Heading 3 Char"/>
    <w:basedOn w:val="DefaultParagraphFont"/>
    <w:link w:val="Heading3"/>
    <w:rsid w:val="000B6069"/>
    <w:rPr>
      <w:rFonts w:ascii="Times New Roman" w:eastAsia="Times New Roman" w:hAnsi="Times New Roman" w:cs="Times New Roman"/>
      <w:color w:val="000000"/>
      <w:sz w:val="20"/>
      <w:u w:val="single"/>
      <w:lang w:val="en-CA" w:eastAsia="en-CA"/>
    </w:rPr>
  </w:style>
  <w:style w:type="paragraph" w:styleId="Title">
    <w:name w:val="Title"/>
    <w:basedOn w:val="Normal"/>
    <w:next w:val="Normal"/>
    <w:link w:val="TitleChar"/>
    <w:rsid w:val="000B6069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0B6069"/>
    <w:rPr>
      <w:rFonts w:ascii="Times New Roman" w:eastAsia="Times New Roman" w:hAnsi="Times New Roman" w:cs="Times New Roman"/>
      <w:b/>
      <w:color w:val="000000"/>
      <w:sz w:val="28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069"/>
    <w:rPr>
      <w:rFonts w:ascii="Tahoma" w:eastAsia="Times New Roman" w:hAnsi="Tahoma" w:cs="Tahoma"/>
      <w:color w:val="000000"/>
      <w:sz w:val="16"/>
      <w:szCs w:val="16"/>
      <w:lang w:val="en-CA" w:eastAsia="en-CA"/>
    </w:rPr>
  </w:style>
  <w:style w:type="paragraph" w:styleId="ListParagraph">
    <w:name w:val="List Paragraph"/>
    <w:basedOn w:val="Normal"/>
    <w:uiPriority w:val="34"/>
    <w:qFormat/>
    <w:rsid w:val="000B6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606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en-CA" w:eastAsia="en-CA"/>
    </w:rPr>
  </w:style>
  <w:style w:type="paragraph" w:styleId="Heading2">
    <w:name w:val="heading 2"/>
    <w:basedOn w:val="Normal"/>
    <w:next w:val="Normal"/>
    <w:link w:val="Heading2Char"/>
    <w:rsid w:val="000B6069"/>
    <w:pPr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rsid w:val="000B6069"/>
    <w:pPr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6069"/>
    <w:rPr>
      <w:rFonts w:ascii="Times New Roman" w:eastAsia="Times New Roman" w:hAnsi="Times New Roman" w:cs="Times New Roman"/>
      <w:color w:val="000000"/>
      <w:sz w:val="24"/>
      <w:u w:val="single"/>
      <w:lang w:val="en-CA" w:eastAsia="en-CA"/>
    </w:rPr>
  </w:style>
  <w:style w:type="character" w:customStyle="1" w:styleId="Heading3Char">
    <w:name w:val="Heading 3 Char"/>
    <w:basedOn w:val="DefaultParagraphFont"/>
    <w:link w:val="Heading3"/>
    <w:rsid w:val="000B6069"/>
    <w:rPr>
      <w:rFonts w:ascii="Times New Roman" w:eastAsia="Times New Roman" w:hAnsi="Times New Roman" w:cs="Times New Roman"/>
      <w:color w:val="000000"/>
      <w:sz w:val="20"/>
      <w:u w:val="single"/>
      <w:lang w:val="en-CA" w:eastAsia="en-CA"/>
    </w:rPr>
  </w:style>
  <w:style w:type="paragraph" w:styleId="Title">
    <w:name w:val="Title"/>
    <w:basedOn w:val="Normal"/>
    <w:next w:val="Normal"/>
    <w:link w:val="TitleChar"/>
    <w:rsid w:val="000B6069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0B6069"/>
    <w:rPr>
      <w:rFonts w:ascii="Times New Roman" w:eastAsia="Times New Roman" w:hAnsi="Times New Roman" w:cs="Times New Roman"/>
      <w:b/>
      <w:color w:val="000000"/>
      <w:sz w:val="28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069"/>
    <w:rPr>
      <w:rFonts w:ascii="Tahoma" w:eastAsia="Times New Roman" w:hAnsi="Tahoma" w:cs="Tahoma"/>
      <w:color w:val="000000"/>
      <w:sz w:val="16"/>
      <w:szCs w:val="16"/>
      <w:lang w:val="en-CA" w:eastAsia="en-CA"/>
    </w:rPr>
  </w:style>
  <w:style w:type="paragraph" w:styleId="ListParagraph">
    <w:name w:val="List Paragraph"/>
    <w:basedOn w:val="Normal"/>
    <w:uiPriority w:val="34"/>
    <w:qFormat/>
    <w:rsid w:val="000B6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michael.madore</dc:creator>
  <cp:lastModifiedBy>michael.madore</cp:lastModifiedBy>
  <cp:revision>3</cp:revision>
  <cp:lastPrinted>2014-03-11T18:29:00Z</cp:lastPrinted>
  <dcterms:created xsi:type="dcterms:W3CDTF">2014-03-11T18:27:00Z</dcterms:created>
  <dcterms:modified xsi:type="dcterms:W3CDTF">2014-03-11T19:12:00Z</dcterms:modified>
</cp:coreProperties>
</file>