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7E81" w14:textId="77777777" w:rsidR="00647FF7" w:rsidRDefault="00D84246" w:rsidP="00647FF7">
      <w:pPr>
        <w:pStyle w:val="Header"/>
        <w:rPr>
          <w:lang w:val="en-CA"/>
        </w:rPr>
      </w:pPr>
      <w:r>
        <w:rPr>
          <w:lang w:val="en-CA"/>
        </w:rPr>
        <w:t xml:space="preserve"> </w:t>
      </w:r>
      <w:r w:rsidR="000C6769">
        <w:rPr>
          <w:rFonts w:ascii="Arial" w:hAnsi="Arial" w:cs="Arial"/>
          <w:b/>
          <w:noProof/>
          <w:sz w:val="20"/>
          <w:szCs w:val="20"/>
        </w:rPr>
        <w:drawing>
          <wp:inline distT="0" distB="0" distL="0" distR="0" wp14:anchorId="11C4B126" wp14:editId="41CCB880">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0FEEE9EA" w14:textId="77777777" w:rsidR="0043076E" w:rsidRPr="00647FF7" w:rsidRDefault="0043076E" w:rsidP="00647FF7">
      <w:pPr>
        <w:pStyle w:val="Header"/>
      </w:pPr>
    </w:p>
    <w:p w14:paraId="5B9081AF" w14:textId="77777777" w:rsidR="0043076E" w:rsidRPr="0043076E" w:rsidRDefault="00B939C7" w:rsidP="0043076E">
      <w:pPr>
        <w:jc w:val="center"/>
        <w:rPr>
          <w:b/>
          <w:sz w:val="36"/>
          <w:szCs w:val="36"/>
          <w:lang w:val="en-CA"/>
        </w:rPr>
      </w:pPr>
      <w:r>
        <w:rPr>
          <w:b/>
          <w:sz w:val="36"/>
          <w:szCs w:val="36"/>
          <w:lang w:val="en-CA"/>
        </w:rPr>
        <w:t xml:space="preserve">Policy: </w:t>
      </w:r>
      <w:r w:rsidR="0043076E" w:rsidRPr="0043076E">
        <w:rPr>
          <w:b/>
          <w:sz w:val="36"/>
          <w:szCs w:val="36"/>
          <w:lang w:val="en-CA"/>
        </w:rPr>
        <w:t>Student Participation in NESA BN Programs Governance</w:t>
      </w:r>
    </w:p>
    <w:p w14:paraId="51CC01F2" w14:textId="77777777" w:rsidR="0043076E" w:rsidRPr="0043076E" w:rsidRDefault="00993AC4" w:rsidP="0043076E">
      <w:pPr>
        <w:pBdr>
          <w:bottom w:val="single" w:sz="4" w:space="1" w:color="auto"/>
        </w:pBdr>
        <w:rPr>
          <w:b/>
          <w:lang w:val="en-CA"/>
        </w:rPr>
      </w:pPr>
      <w:r>
        <w:rPr>
          <w:b/>
          <w:lang w:val="en-CA"/>
        </w:rPr>
        <w:t>PURPOSE:</w:t>
      </w:r>
    </w:p>
    <w:p w14:paraId="1A7385EC" w14:textId="77777777" w:rsidR="00D75385" w:rsidRPr="00E62799" w:rsidRDefault="0043076E" w:rsidP="00543C9E">
      <w:pPr>
        <w:rPr>
          <w:i/>
          <w:lang w:val="en-CA"/>
        </w:rPr>
      </w:pPr>
      <w:r w:rsidRPr="00E62799">
        <w:rPr>
          <w:lang w:val="en-CA"/>
        </w:rPr>
        <w:t xml:space="preserve">The purpose of this policy is to outline the expectations and process for student </w:t>
      </w:r>
      <w:r w:rsidR="00A12753" w:rsidRPr="00E62799">
        <w:rPr>
          <w:lang w:val="en-CA"/>
        </w:rPr>
        <w:t xml:space="preserve">recruitment and </w:t>
      </w:r>
      <w:r w:rsidRPr="00E62799">
        <w:rPr>
          <w:lang w:val="en-CA"/>
        </w:rPr>
        <w:t>participation in NESA BN Programs governance committees</w:t>
      </w:r>
      <w:r w:rsidRPr="00E62799">
        <w:rPr>
          <w:i/>
          <w:lang w:val="en-CA"/>
        </w:rPr>
        <w:t xml:space="preserve">. </w:t>
      </w:r>
    </w:p>
    <w:p w14:paraId="5CE55C84" w14:textId="77777777" w:rsidR="0043076E" w:rsidRDefault="000F65D8" w:rsidP="0043076E">
      <w:pPr>
        <w:pBdr>
          <w:bottom w:val="single" w:sz="4" w:space="1" w:color="auto"/>
        </w:pBdr>
        <w:rPr>
          <w:lang w:val="en-CA"/>
        </w:rPr>
      </w:pPr>
      <w:r w:rsidRPr="002F7A57">
        <w:rPr>
          <w:b/>
          <w:lang w:val="en-CA"/>
        </w:rPr>
        <w:t>DEFINITIONS:</w:t>
      </w:r>
    </w:p>
    <w:p w14:paraId="661B0D1E" w14:textId="3BCB4B4F" w:rsidR="0043076E" w:rsidRPr="00E62799" w:rsidRDefault="0043076E" w:rsidP="00543C9E">
      <w:pPr>
        <w:rPr>
          <w:lang w:val="en-CA"/>
        </w:rPr>
      </w:pPr>
      <w:r w:rsidRPr="00543C9E">
        <w:rPr>
          <w:b/>
          <w:i/>
          <w:lang w:val="en-CA"/>
        </w:rPr>
        <w:t>Governance committees</w:t>
      </w:r>
      <w:r w:rsidRPr="00E62799">
        <w:rPr>
          <w:lang w:val="en-CA"/>
        </w:rPr>
        <w:t xml:space="preserve">: </w:t>
      </w:r>
      <w:r w:rsidR="00E62799">
        <w:rPr>
          <w:lang w:val="en-CA"/>
        </w:rPr>
        <w:t xml:space="preserve"> </w:t>
      </w:r>
      <w:r w:rsidR="00A701AB" w:rsidRPr="00E62799">
        <w:rPr>
          <w:lang w:val="en-CA"/>
        </w:rPr>
        <w:t>St</w:t>
      </w:r>
      <w:r w:rsidRPr="00E62799">
        <w:rPr>
          <w:lang w:val="en-CA"/>
        </w:rPr>
        <w:t xml:space="preserve">anding committees of the NESA Joint Faculty Council that are accountable to the Council, act within defined Terms of Reference, and facilitate the governing of the NESA BN Programs by bringing specific recommendations to the </w:t>
      </w:r>
      <w:r w:rsidR="008552F8">
        <w:rPr>
          <w:lang w:val="en-CA"/>
        </w:rPr>
        <w:t xml:space="preserve">NESA </w:t>
      </w:r>
      <w:r w:rsidRPr="00E62799">
        <w:rPr>
          <w:lang w:val="en-CA"/>
        </w:rPr>
        <w:t xml:space="preserve">Joint Faculty Council. </w:t>
      </w:r>
    </w:p>
    <w:p w14:paraId="36D31795" w14:textId="77777777" w:rsidR="000F65D8" w:rsidRPr="000C6769" w:rsidRDefault="000F65D8" w:rsidP="008A4A96">
      <w:pPr>
        <w:pStyle w:val="ListParagraph"/>
        <w:spacing w:after="0"/>
        <w:ind w:left="1080"/>
        <w:rPr>
          <w:lang w:val="en-CA"/>
        </w:rPr>
      </w:pPr>
    </w:p>
    <w:p w14:paraId="5B3C873E" w14:textId="77777777" w:rsidR="000C6769" w:rsidRPr="00D24B91" w:rsidRDefault="002F7A57" w:rsidP="00D24B91">
      <w:pPr>
        <w:pBdr>
          <w:bottom w:val="single" w:sz="4" w:space="1" w:color="auto"/>
        </w:pBdr>
        <w:rPr>
          <w:b/>
          <w:lang w:val="en-CA"/>
        </w:rPr>
      </w:pPr>
      <w:r>
        <w:rPr>
          <w:b/>
          <w:lang w:val="en-CA"/>
        </w:rPr>
        <w:t>POLICY SCOPE</w:t>
      </w:r>
      <w:r w:rsidR="00AD2783">
        <w:rPr>
          <w:b/>
          <w:lang w:val="en-CA"/>
        </w:rPr>
        <w:t>*</w:t>
      </w:r>
      <w:r w:rsidR="00993AC4">
        <w:rPr>
          <w:b/>
          <w:lang w:val="en-CA"/>
        </w:rPr>
        <w:t>:</w:t>
      </w:r>
    </w:p>
    <w:p w14:paraId="3C1D46BE" w14:textId="77777777" w:rsidR="00116D4B" w:rsidRDefault="0043076E">
      <w:pPr>
        <w:rPr>
          <w:lang w:val="en-CA"/>
        </w:rPr>
      </w:pPr>
      <w:r w:rsidRPr="0043076E">
        <w:rPr>
          <w:lang w:val="en-CA"/>
        </w:rPr>
        <w:t>The policy applies to all students</w:t>
      </w:r>
      <w:r w:rsidR="00A701AB">
        <w:rPr>
          <w:lang w:val="en-CA"/>
        </w:rPr>
        <w:t xml:space="preserve"> and faculty</w:t>
      </w:r>
      <w:r w:rsidRPr="0043076E">
        <w:rPr>
          <w:lang w:val="en-CA"/>
        </w:rPr>
        <w:t xml:space="preserve"> in the NESA BN Programs. </w:t>
      </w:r>
    </w:p>
    <w:p w14:paraId="4A2FAC1B" w14:textId="77777777" w:rsidR="0043076E" w:rsidRPr="0043076E" w:rsidRDefault="00993AC4" w:rsidP="0043076E">
      <w:pPr>
        <w:pBdr>
          <w:bottom w:val="single" w:sz="4" w:space="1" w:color="auto"/>
        </w:pBdr>
        <w:rPr>
          <w:b/>
          <w:lang w:val="en-CA"/>
        </w:rPr>
      </w:pPr>
      <w:r>
        <w:rPr>
          <w:b/>
          <w:lang w:val="en-CA"/>
        </w:rPr>
        <w:t>POLICY STATEMENT(S):</w:t>
      </w:r>
    </w:p>
    <w:p w14:paraId="3A688FAE" w14:textId="6D513549" w:rsidR="00116D4B" w:rsidRPr="00802446" w:rsidRDefault="0094624C" w:rsidP="0094624C">
      <w:pPr>
        <w:pStyle w:val="ListParagraph"/>
        <w:ind w:left="180" w:hanging="180"/>
        <w:rPr>
          <w:lang w:val="en-CA"/>
        </w:rPr>
      </w:pPr>
      <w:r w:rsidRPr="0043076E">
        <w:rPr>
          <w:lang w:val="en-CA"/>
        </w:rPr>
        <w:t>1.</w:t>
      </w:r>
      <w:r>
        <w:rPr>
          <w:lang w:val="en-CA"/>
        </w:rPr>
        <w:t xml:space="preserve"> The</w:t>
      </w:r>
      <w:r w:rsidR="0043076E" w:rsidRPr="0043076E">
        <w:rPr>
          <w:lang w:val="en-CA"/>
        </w:rPr>
        <w:t xml:space="preserve"> NESA BN Programs benefit from student involvement in governance, </w:t>
      </w:r>
      <w:r w:rsidR="00802446">
        <w:rPr>
          <w:lang w:val="en-CA"/>
        </w:rPr>
        <w:t>as students</w:t>
      </w:r>
      <w:r w:rsidR="008250C6">
        <w:rPr>
          <w:lang w:val="en-CA"/>
        </w:rPr>
        <w:t xml:space="preserve"> bring </w:t>
      </w:r>
      <w:r w:rsidR="0043076E" w:rsidRPr="0043076E">
        <w:rPr>
          <w:lang w:val="en-CA"/>
        </w:rPr>
        <w:t>valuable perspective</w:t>
      </w:r>
      <w:r w:rsidR="00802446">
        <w:rPr>
          <w:lang w:val="en-CA"/>
        </w:rPr>
        <w:t>s</w:t>
      </w:r>
      <w:r w:rsidR="0043076E" w:rsidRPr="0043076E">
        <w:rPr>
          <w:lang w:val="en-CA"/>
        </w:rPr>
        <w:t xml:space="preserve"> to ongoing quality improvement of </w:t>
      </w:r>
      <w:r w:rsidR="008552F8">
        <w:rPr>
          <w:lang w:val="en-CA"/>
        </w:rPr>
        <w:t>the Programs</w:t>
      </w:r>
      <w:r w:rsidR="00802446">
        <w:rPr>
          <w:lang w:val="en-CA"/>
        </w:rPr>
        <w:t>.</w:t>
      </w:r>
    </w:p>
    <w:p w14:paraId="585CDFC0" w14:textId="77777777" w:rsidR="0043076E" w:rsidRPr="0043076E" w:rsidRDefault="0043076E" w:rsidP="00B939C7">
      <w:pPr>
        <w:pStyle w:val="ListParagraph"/>
        <w:ind w:left="90"/>
        <w:rPr>
          <w:lang w:val="en-CA"/>
        </w:rPr>
      </w:pPr>
    </w:p>
    <w:p w14:paraId="7E00A4E9" w14:textId="04ED01DC" w:rsidR="00116D4B" w:rsidRPr="00586C9B" w:rsidRDefault="0043076E" w:rsidP="00586C9B">
      <w:pPr>
        <w:rPr>
          <w:lang w:val="en-CA"/>
        </w:rPr>
      </w:pPr>
      <w:r w:rsidRPr="00586C9B">
        <w:rPr>
          <w:lang w:val="en-CA"/>
        </w:rPr>
        <w:t xml:space="preserve">2. </w:t>
      </w:r>
      <w:r w:rsidR="00A701AB" w:rsidRPr="00586C9B">
        <w:rPr>
          <w:lang w:val="en-CA"/>
        </w:rPr>
        <w:t>Student p</w:t>
      </w:r>
      <w:r w:rsidRPr="00586C9B">
        <w:rPr>
          <w:lang w:val="en-CA"/>
        </w:rPr>
        <w:t xml:space="preserve">articipation </w:t>
      </w:r>
      <w:r w:rsidR="00A701AB" w:rsidRPr="00586C9B">
        <w:rPr>
          <w:lang w:val="en-CA"/>
        </w:rPr>
        <w:t xml:space="preserve">on NESA </w:t>
      </w:r>
      <w:r w:rsidRPr="00586C9B">
        <w:rPr>
          <w:lang w:val="en-CA"/>
        </w:rPr>
        <w:t xml:space="preserve">governance </w:t>
      </w:r>
      <w:r w:rsidR="00A701AB" w:rsidRPr="00586C9B">
        <w:rPr>
          <w:lang w:val="en-CA"/>
        </w:rPr>
        <w:t xml:space="preserve">committees </w:t>
      </w:r>
      <w:r w:rsidR="0094624C" w:rsidRPr="00586C9B">
        <w:rPr>
          <w:lang w:val="en-CA"/>
        </w:rPr>
        <w:t>is a</w:t>
      </w:r>
      <w:r w:rsidR="00A701AB" w:rsidRPr="00586C9B">
        <w:rPr>
          <w:lang w:val="en-CA"/>
        </w:rPr>
        <w:t xml:space="preserve"> valuable </w:t>
      </w:r>
      <w:r w:rsidRPr="00586C9B">
        <w:rPr>
          <w:lang w:val="en-CA"/>
        </w:rPr>
        <w:t xml:space="preserve">learning experience </w:t>
      </w:r>
      <w:r w:rsidR="00911F47" w:rsidRPr="00586C9B">
        <w:rPr>
          <w:lang w:val="en-CA"/>
        </w:rPr>
        <w:t xml:space="preserve">as students have opportunities to: </w:t>
      </w:r>
    </w:p>
    <w:p w14:paraId="588D831E" w14:textId="77777777" w:rsidR="00B728AD" w:rsidRDefault="00A701AB" w:rsidP="00B728AD">
      <w:pPr>
        <w:pStyle w:val="ListParagraph"/>
        <w:numPr>
          <w:ilvl w:val="0"/>
          <w:numId w:val="13"/>
        </w:numPr>
        <w:rPr>
          <w:lang w:val="en-CA"/>
        </w:rPr>
      </w:pPr>
      <w:r>
        <w:rPr>
          <w:lang w:val="en-CA"/>
        </w:rPr>
        <w:t>D</w:t>
      </w:r>
      <w:r w:rsidR="0043076E" w:rsidRPr="0043076E">
        <w:rPr>
          <w:lang w:val="en-CA"/>
        </w:rPr>
        <w:t>evelop an understanding of governance roles and processes,</w:t>
      </w:r>
    </w:p>
    <w:p w14:paraId="47EBF6C8" w14:textId="77777777" w:rsidR="00B728AD" w:rsidRPr="00B728AD" w:rsidRDefault="00B728AD" w:rsidP="00B728AD">
      <w:pPr>
        <w:pStyle w:val="ListParagraph"/>
        <w:numPr>
          <w:ilvl w:val="0"/>
          <w:numId w:val="13"/>
        </w:numPr>
        <w:rPr>
          <w:lang w:val="en-CA"/>
        </w:rPr>
      </w:pPr>
      <w:r>
        <w:rPr>
          <w:lang w:val="en-CA"/>
        </w:rPr>
        <w:t>G</w:t>
      </w:r>
      <w:r w:rsidR="00A701AB">
        <w:rPr>
          <w:lang w:val="en-CA"/>
        </w:rPr>
        <w:t xml:space="preserve">ain </w:t>
      </w:r>
      <w:r w:rsidR="0043076E" w:rsidRPr="0043076E">
        <w:rPr>
          <w:lang w:val="en-CA"/>
        </w:rPr>
        <w:t>exposure to a broad range of issues affecting nursing education programs</w:t>
      </w:r>
      <w:r>
        <w:rPr>
          <w:lang w:val="en-CA"/>
        </w:rPr>
        <w:t>, and</w:t>
      </w:r>
    </w:p>
    <w:p w14:paraId="42672B2D" w14:textId="77777777" w:rsidR="00116D4B" w:rsidRPr="00B728AD" w:rsidRDefault="00B728AD" w:rsidP="00B728AD">
      <w:pPr>
        <w:pStyle w:val="ListParagraph"/>
        <w:numPr>
          <w:ilvl w:val="0"/>
          <w:numId w:val="13"/>
        </w:numPr>
        <w:rPr>
          <w:lang w:val="en-CA"/>
        </w:rPr>
      </w:pPr>
      <w:r w:rsidRPr="00B728AD">
        <w:rPr>
          <w:lang w:val="en-CA"/>
        </w:rPr>
        <w:t>Increase</w:t>
      </w:r>
      <w:r w:rsidR="00A701AB" w:rsidRPr="00B728AD">
        <w:rPr>
          <w:lang w:val="en-CA"/>
        </w:rPr>
        <w:t xml:space="preserve"> </w:t>
      </w:r>
      <w:r w:rsidRPr="00B728AD">
        <w:rPr>
          <w:lang w:val="en-CA"/>
        </w:rPr>
        <w:t>skills and knowledge</w:t>
      </w:r>
      <w:r w:rsidR="00A701AB" w:rsidRPr="00B728AD">
        <w:rPr>
          <w:lang w:val="en-CA"/>
        </w:rPr>
        <w:t xml:space="preserve"> that</w:t>
      </w:r>
      <w:r>
        <w:rPr>
          <w:lang w:val="en-CA"/>
        </w:rPr>
        <w:t xml:space="preserve"> are</w:t>
      </w:r>
      <w:r w:rsidR="0043076E" w:rsidRPr="00B728AD">
        <w:rPr>
          <w:lang w:val="en-CA"/>
        </w:rPr>
        <w:t xml:space="preserve"> transferable to workplace </w:t>
      </w:r>
      <w:r w:rsidR="00A701AB" w:rsidRPr="00B728AD">
        <w:rPr>
          <w:lang w:val="en-CA"/>
        </w:rPr>
        <w:t>and/</w:t>
      </w:r>
      <w:r w:rsidR="0043076E" w:rsidRPr="00B728AD">
        <w:rPr>
          <w:lang w:val="en-CA"/>
        </w:rPr>
        <w:t xml:space="preserve">or community governance activities. </w:t>
      </w:r>
    </w:p>
    <w:p w14:paraId="19FA5814" w14:textId="77777777" w:rsidR="006D1E78" w:rsidRDefault="006D1E78" w:rsidP="002F7A57">
      <w:pPr>
        <w:pBdr>
          <w:bottom w:val="single" w:sz="4" w:space="1" w:color="auto"/>
        </w:pBdr>
        <w:rPr>
          <w:b/>
          <w:lang w:val="en-CA"/>
        </w:rPr>
      </w:pPr>
    </w:p>
    <w:p w14:paraId="0AF032FF" w14:textId="361CD39B" w:rsidR="000C6769" w:rsidRPr="00A71CE8" w:rsidRDefault="00993AC4" w:rsidP="002F7A57">
      <w:pPr>
        <w:pBdr>
          <w:bottom w:val="single" w:sz="4" w:space="1" w:color="auto"/>
        </w:pBdr>
        <w:rPr>
          <w:b/>
          <w:lang w:val="en-CA"/>
        </w:rPr>
      </w:pPr>
      <w:r w:rsidRPr="00A71CE8">
        <w:rPr>
          <w:b/>
          <w:lang w:val="en-CA"/>
        </w:rPr>
        <w:t xml:space="preserve">SPECIFICS OF THE POLICY: </w:t>
      </w:r>
    </w:p>
    <w:p w14:paraId="0770E966" w14:textId="3776B37A" w:rsidR="00586C9B" w:rsidRDefault="00586C9B" w:rsidP="00A71CE8">
      <w:pPr>
        <w:pStyle w:val="ListParagraph"/>
        <w:numPr>
          <w:ilvl w:val="0"/>
          <w:numId w:val="14"/>
        </w:numPr>
        <w:rPr>
          <w:lang w:val="en-CA"/>
        </w:rPr>
      </w:pPr>
      <w:r w:rsidRPr="00A71CE8">
        <w:rPr>
          <w:lang w:val="en-CA"/>
        </w:rPr>
        <w:t>Student participation in any NESA BN Programs governance committee, as appropriate to the committee’s mandate, will be outlined in the committee’s Terms of Reference. The terms of appointment for student members may be shorter than the length of term for faculty members</w:t>
      </w:r>
      <w:r>
        <w:rPr>
          <w:lang w:val="en-CA"/>
        </w:rPr>
        <w:t>.</w:t>
      </w:r>
    </w:p>
    <w:p w14:paraId="2728E707" w14:textId="77777777" w:rsidR="00586C9B" w:rsidRDefault="00586C9B" w:rsidP="00586C9B">
      <w:pPr>
        <w:pStyle w:val="ListParagraph"/>
        <w:rPr>
          <w:lang w:val="en-CA"/>
        </w:rPr>
      </w:pPr>
    </w:p>
    <w:p w14:paraId="429727AF" w14:textId="11B6A6C7" w:rsidR="008250C6" w:rsidRDefault="00911F47" w:rsidP="00A71CE8">
      <w:pPr>
        <w:pStyle w:val="ListParagraph"/>
        <w:numPr>
          <w:ilvl w:val="0"/>
          <w:numId w:val="14"/>
        </w:numPr>
        <w:rPr>
          <w:lang w:val="en-CA"/>
        </w:rPr>
      </w:pPr>
      <w:r w:rsidRPr="00A71CE8">
        <w:rPr>
          <w:lang w:val="en-CA"/>
        </w:rPr>
        <w:t xml:space="preserve">Every </w:t>
      </w:r>
      <w:r w:rsidR="00077ECB" w:rsidRPr="00A71CE8">
        <w:rPr>
          <w:lang w:val="en-CA"/>
        </w:rPr>
        <w:t xml:space="preserve">August, </w:t>
      </w:r>
      <w:r w:rsidR="008552F8" w:rsidRPr="00A71CE8">
        <w:rPr>
          <w:lang w:val="en-CA"/>
        </w:rPr>
        <w:t xml:space="preserve">the </w:t>
      </w:r>
      <w:r w:rsidR="00077ECB" w:rsidRPr="00A71CE8">
        <w:rPr>
          <w:lang w:val="en-CA"/>
        </w:rPr>
        <w:t xml:space="preserve">NESA </w:t>
      </w:r>
      <w:r w:rsidR="008552F8" w:rsidRPr="00A71CE8">
        <w:rPr>
          <w:lang w:val="en-CA"/>
        </w:rPr>
        <w:t>J</w:t>
      </w:r>
      <w:r w:rsidR="00077ECB" w:rsidRPr="00A71CE8">
        <w:rPr>
          <w:lang w:val="en-CA"/>
        </w:rPr>
        <w:t xml:space="preserve">oint </w:t>
      </w:r>
      <w:r w:rsidR="008552F8" w:rsidRPr="00A71CE8">
        <w:rPr>
          <w:lang w:val="en-CA"/>
        </w:rPr>
        <w:t>F</w:t>
      </w:r>
      <w:r w:rsidR="00077ECB" w:rsidRPr="00A71CE8">
        <w:rPr>
          <w:lang w:val="en-CA"/>
        </w:rPr>
        <w:t>aculty</w:t>
      </w:r>
      <w:r w:rsidR="008552F8" w:rsidRPr="00A71CE8">
        <w:rPr>
          <w:lang w:val="en-CA"/>
        </w:rPr>
        <w:t xml:space="preserve"> Council</w:t>
      </w:r>
      <w:r w:rsidR="00077ECB" w:rsidRPr="00A71CE8">
        <w:rPr>
          <w:lang w:val="en-CA"/>
        </w:rPr>
        <w:t xml:space="preserve"> will review </w:t>
      </w:r>
      <w:r w:rsidRPr="00A71CE8">
        <w:rPr>
          <w:lang w:val="en-CA"/>
        </w:rPr>
        <w:t xml:space="preserve">student vacancies </w:t>
      </w:r>
      <w:r w:rsidR="00077ECB" w:rsidRPr="00A71CE8">
        <w:rPr>
          <w:lang w:val="en-CA"/>
        </w:rPr>
        <w:t>on NESA</w:t>
      </w:r>
      <w:r w:rsidR="00923B39" w:rsidRPr="00A71CE8">
        <w:rPr>
          <w:lang w:val="en-CA"/>
        </w:rPr>
        <w:t xml:space="preserve"> BN Program</w:t>
      </w:r>
      <w:r w:rsidR="00077ECB" w:rsidRPr="00A71CE8">
        <w:rPr>
          <w:lang w:val="en-CA"/>
        </w:rPr>
        <w:t xml:space="preserve"> governance committees. Following this review</w:t>
      </w:r>
      <w:r w:rsidRPr="00A71CE8">
        <w:rPr>
          <w:lang w:val="en-CA"/>
        </w:rPr>
        <w:t>,</w:t>
      </w:r>
      <w:r w:rsidR="0094624C" w:rsidRPr="00A71CE8">
        <w:rPr>
          <w:lang w:val="en-CA"/>
        </w:rPr>
        <w:t xml:space="preserve"> </w:t>
      </w:r>
      <w:r w:rsidRPr="00A71CE8">
        <w:rPr>
          <w:lang w:val="en-CA"/>
        </w:rPr>
        <w:t xml:space="preserve">a designated member of </w:t>
      </w:r>
      <w:r w:rsidR="00077ECB" w:rsidRPr="00A71CE8">
        <w:rPr>
          <w:lang w:val="en-CA"/>
        </w:rPr>
        <w:t xml:space="preserve">the NESA </w:t>
      </w:r>
      <w:r w:rsidR="008552F8" w:rsidRPr="00A71CE8">
        <w:rPr>
          <w:lang w:val="en-CA"/>
        </w:rPr>
        <w:t>A</w:t>
      </w:r>
      <w:r w:rsidR="00077ECB" w:rsidRPr="00A71CE8">
        <w:rPr>
          <w:lang w:val="en-CA"/>
        </w:rPr>
        <w:t>dministrati</w:t>
      </w:r>
      <w:r w:rsidRPr="00A71CE8">
        <w:rPr>
          <w:lang w:val="en-CA"/>
        </w:rPr>
        <w:t xml:space="preserve">ve </w:t>
      </w:r>
      <w:r w:rsidR="008552F8" w:rsidRPr="00A71CE8">
        <w:rPr>
          <w:lang w:val="en-CA"/>
        </w:rPr>
        <w:t xml:space="preserve">Committee </w:t>
      </w:r>
      <w:r w:rsidR="0094624C" w:rsidRPr="00A71CE8">
        <w:rPr>
          <w:lang w:val="en-CA"/>
        </w:rPr>
        <w:t>will</w:t>
      </w:r>
      <w:r w:rsidR="00077ECB" w:rsidRPr="00A71CE8">
        <w:rPr>
          <w:lang w:val="en-CA"/>
        </w:rPr>
        <w:t xml:space="preserve"> email all NESA students</w:t>
      </w:r>
      <w:r w:rsidRPr="00A71CE8">
        <w:rPr>
          <w:lang w:val="en-CA"/>
        </w:rPr>
        <w:t xml:space="preserve"> informing them of the </w:t>
      </w:r>
      <w:r w:rsidR="00777420" w:rsidRPr="00A71CE8">
        <w:rPr>
          <w:lang w:val="en-CA"/>
        </w:rPr>
        <w:t>opportunities and</w:t>
      </w:r>
      <w:r w:rsidR="00077ECB" w:rsidRPr="00A71CE8">
        <w:rPr>
          <w:lang w:val="en-CA"/>
        </w:rPr>
        <w:t xml:space="preserve"> inviting</w:t>
      </w:r>
      <w:r w:rsidRPr="00A71CE8">
        <w:rPr>
          <w:lang w:val="en-CA"/>
        </w:rPr>
        <w:t xml:space="preserve"> their</w:t>
      </w:r>
      <w:r w:rsidR="0094624C" w:rsidRPr="00A71CE8">
        <w:rPr>
          <w:lang w:val="en-CA"/>
        </w:rPr>
        <w:t xml:space="preserve"> </w:t>
      </w:r>
      <w:r w:rsidR="00077ECB" w:rsidRPr="00A71CE8">
        <w:rPr>
          <w:lang w:val="en-CA"/>
        </w:rPr>
        <w:t>participation</w:t>
      </w:r>
      <w:r w:rsidRPr="00A71CE8">
        <w:rPr>
          <w:lang w:val="en-CA"/>
        </w:rPr>
        <w:t>.</w:t>
      </w:r>
    </w:p>
    <w:p w14:paraId="259C33D9" w14:textId="77777777" w:rsidR="00A71CE8" w:rsidRPr="00A71CE8" w:rsidRDefault="00A71CE8" w:rsidP="00A71CE8">
      <w:pPr>
        <w:pStyle w:val="ListParagraph"/>
        <w:rPr>
          <w:lang w:val="en-CA"/>
        </w:rPr>
      </w:pPr>
    </w:p>
    <w:p w14:paraId="1757A8EB" w14:textId="28CD29AE" w:rsidR="00A71CE8" w:rsidRDefault="008250C6" w:rsidP="00A71CE8">
      <w:pPr>
        <w:pStyle w:val="ListParagraph"/>
        <w:numPr>
          <w:ilvl w:val="0"/>
          <w:numId w:val="14"/>
        </w:numPr>
        <w:rPr>
          <w:lang w:val="en-CA"/>
        </w:rPr>
      </w:pPr>
      <w:proofErr w:type="gramStart"/>
      <w:r w:rsidRPr="00A71CE8">
        <w:rPr>
          <w:lang w:val="en-CA"/>
        </w:rPr>
        <w:t>In the event that</w:t>
      </w:r>
      <w:proofErr w:type="gramEnd"/>
      <w:r w:rsidRPr="00A71CE8">
        <w:rPr>
          <w:lang w:val="en-CA"/>
        </w:rPr>
        <w:t xml:space="preserve"> student response for participation on these committees exceeds committee demands, student</w:t>
      </w:r>
      <w:r w:rsidR="00911F47" w:rsidRPr="00A71CE8">
        <w:rPr>
          <w:lang w:val="en-CA"/>
        </w:rPr>
        <w:t>s</w:t>
      </w:r>
      <w:r w:rsidRPr="00A71CE8">
        <w:rPr>
          <w:lang w:val="en-CA"/>
        </w:rPr>
        <w:t xml:space="preserve"> will be assigned on a first come, first serve basis. </w:t>
      </w:r>
    </w:p>
    <w:p w14:paraId="61C4C0AA" w14:textId="77777777" w:rsidR="00A71CE8" w:rsidRPr="00A71CE8" w:rsidRDefault="00A71CE8" w:rsidP="00A71CE8">
      <w:pPr>
        <w:pStyle w:val="ListParagraph"/>
        <w:rPr>
          <w:lang w:val="en-CA"/>
        </w:rPr>
      </w:pPr>
    </w:p>
    <w:p w14:paraId="71130C4C" w14:textId="3E0E4EBB" w:rsidR="00923B39" w:rsidRDefault="00923B39" w:rsidP="00A71CE8">
      <w:pPr>
        <w:pStyle w:val="ListParagraph"/>
        <w:numPr>
          <w:ilvl w:val="0"/>
          <w:numId w:val="14"/>
        </w:numPr>
        <w:rPr>
          <w:lang w:val="en-CA"/>
        </w:rPr>
      </w:pPr>
      <w:r w:rsidRPr="00A71CE8">
        <w:rPr>
          <w:lang w:val="en-CA"/>
        </w:rPr>
        <w:t>Each NESA BN Program</w:t>
      </w:r>
      <w:r w:rsidR="008552F8" w:rsidRPr="00A71CE8">
        <w:rPr>
          <w:lang w:val="en-CA"/>
        </w:rPr>
        <w:t>s</w:t>
      </w:r>
      <w:r w:rsidRPr="00A71CE8">
        <w:rPr>
          <w:lang w:val="en-CA"/>
        </w:rPr>
        <w:t xml:space="preserve"> governance committee will appoint one member to act as student liaison</w:t>
      </w:r>
      <w:r w:rsidR="00292335" w:rsidRPr="00A71CE8">
        <w:rPr>
          <w:lang w:val="en-CA"/>
        </w:rPr>
        <w:t xml:space="preserve"> to </w:t>
      </w:r>
      <w:r w:rsidR="00101D6D" w:rsidRPr="00A71CE8">
        <w:rPr>
          <w:lang w:val="en-CA"/>
        </w:rPr>
        <w:t xml:space="preserve">facilitate feedback and student input to </w:t>
      </w:r>
      <w:r w:rsidR="008552F8" w:rsidRPr="00A71CE8">
        <w:rPr>
          <w:lang w:val="en-CA"/>
        </w:rPr>
        <w:t xml:space="preserve">the </w:t>
      </w:r>
      <w:r w:rsidR="00101D6D" w:rsidRPr="00A71CE8">
        <w:rPr>
          <w:lang w:val="en-CA"/>
        </w:rPr>
        <w:t>committee</w:t>
      </w:r>
      <w:r w:rsidR="008552F8" w:rsidRPr="00A71CE8">
        <w:rPr>
          <w:lang w:val="en-CA"/>
        </w:rPr>
        <w:t>’s</w:t>
      </w:r>
      <w:r w:rsidR="00101D6D" w:rsidRPr="00A71CE8">
        <w:rPr>
          <w:lang w:val="en-CA"/>
        </w:rPr>
        <w:t xml:space="preserve"> work</w:t>
      </w:r>
      <w:r w:rsidRPr="00A71CE8">
        <w:rPr>
          <w:lang w:val="en-CA"/>
        </w:rPr>
        <w:t xml:space="preserve">. </w:t>
      </w:r>
    </w:p>
    <w:p w14:paraId="45EF1FBF" w14:textId="77777777" w:rsidR="00A71CE8" w:rsidRPr="00A71CE8" w:rsidRDefault="00A71CE8" w:rsidP="00A71CE8">
      <w:pPr>
        <w:pStyle w:val="ListParagraph"/>
        <w:rPr>
          <w:lang w:val="en-CA"/>
        </w:rPr>
      </w:pPr>
    </w:p>
    <w:p w14:paraId="3F769039" w14:textId="0CE527C5" w:rsidR="008A4A96" w:rsidRDefault="0043076E" w:rsidP="00A71CE8">
      <w:pPr>
        <w:pStyle w:val="ListParagraph"/>
        <w:numPr>
          <w:ilvl w:val="0"/>
          <w:numId w:val="14"/>
        </w:numPr>
        <w:rPr>
          <w:lang w:val="en-CA"/>
        </w:rPr>
      </w:pPr>
      <w:r w:rsidRPr="00A71CE8">
        <w:rPr>
          <w:lang w:val="en-CA"/>
        </w:rPr>
        <w:t xml:space="preserve">Whenever possible, meeting dates and times for NESA </w:t>
      </w:r>
      <w:r w:rsidR="00923B39" w:rsidRPr="00A71CE8">
        <w:rPr>
          <w:lang w:val="en-CA"/>
        </w:rPr>
        <w:t>BN Program</w:t>
      </w:r>
      <w:r w:rsidR="008552F8" w:rsidRPr="00A71CE8">
        <w:rPr>
          <w:lang w:val="en-CA"/>
        </w:rPr>
        <w:t>s</w:t>
      </w:r>
      <w:r w:rsidR="00923B39" w:rsidRPr="00A71CE8">
        <w:rPr>
          <w:lang w:val="en-CA"/>
        </w:rPr>
        <w:t xml:space="preserve"> g</w:t>
      </w:r>
      <w:r w:rsidRPr="00A71CE8">
        <w:rPr>
          <w:lang w:val="en-CA"/>
        </w:rPr>
        <w:t xml:space="preserve">overnance </w:t>
      </w:r>
      <w:r w:rsidR="00923B39" w:rsidRPr="00A71CE8">
        <w:rPr>
          <w:lang w:val="en-CA"/>
        </w:rPr>
        <w:t>c</w:t>
      </w:r>
      <w:r w:rsidRPr="00A71CE8">
        <w:rPr>
          <w:lang w:val="en-CA"/>
        </w:rPr>
        <w:t xml:space="preserve">ommittees will be set when the student member has no classroom or practice commitments. </w:t>
      </w:r>
      <w:r w:rsidR="00923B39" w:rsidRPr="00A71CE8">
        <w:rPr>
          <w:lang w:val="en-CA"/>
        </w:rPr>
        <w:t xml:space="preserve">If student participation is required for decision making, the committee will ensure some student representation is present at the committee meeting.  </w:t>
      </w:r>
    </w:p>
    <w:p w14:paraId="2674B5F1" w14:textId="77777777" w:rsidR="00586C9B" w:rsidRPr="00586C9B" w:rsidRDefault="00586C9B" w:rsidP="00586C9B">
      <w:pPr>
        <w:pStyle w:val="ListParagraph"/>
        <w:rPr>
          <w:lang w:val="en-CA"/>
        </w:rPr>
      </w:pPr>
    </w:p>
    <w:p w14:paraId="4E3370A1" w14:textId="2BEB2B3B" w:rsidR="00586C9B" w:rsidRPr="00586FD2" w:rsidRDefault="00586C9B" w:rsidP="00A71CE8">
      <w:pPr>
        <w:pStyle w:val="ListParagraph"/>
        <w:numPr>
          <w:ilvl w:val="0"/>
          <w:numId w:val="14"/>
        </w:numPr>
        <w:rPr>
          <w:lang w:val="en-CA"/>
        </w:rPr>
      </w:pPr>
      <w:r w:rsidRPr="00586FD2">
        <w:rPr>
          <w:lang w:val="en-CA"/>
        </w:rPr>
        <w:t>Upon completion of their term, student members will receive a formal letter and certificate jointly from the Dean for the Centre for Health and Wellness at Lethbridge College and the Dean for the Faculty of Health Sciences at the University of Lethbridge</w:t>
      </w:r>
      <w:r w:rsidR="00C70ED9" w:rsidRPr="00586FD2">
        <w:rPr>
          <w:lang w:val="en-CA"/>
        </w:rPr>
        <w:t xml:space="preserve"> (U of L)</w:t>
      </w:r>
      <w:r w:rsidRPr="00586FD2">
        <w:rPr>
          <w:lang w:val="en-CA"/>
        </w:rPr>
        <w:t>.</w:t>
      </w:r>
    </w:p>
    <w:p w14:paraId="2CF34D02" w14:textId="586E3DCF" w:rsidR="00586C9B" w:rsidRPr="00586FD2" w:rsidRDefault="00586C9B" w:rsidP="00586C9B">
      <w:pPr>
        <w:pStyle w:val="ListParagraph"/>
        <w:numPr>
          <w:ilvl w:val="1"/>
          <w:numId w:val="14"/>
        </w:numPr>
        <w:rPr>
          <w:lang w:val="en-CA"/>
        </w:rPr>
      </w:pPr>
      <w:r w:rsidRPr="00586FD2">
        <w:rPr>
          <w:lang w:val="en-CA"/>
        </w:rPr>
        <w:t xml:space="preserve">Students who have completed their term during the academic year will be identified in May each year by the Committee Chair, who will then notify their respective Dean so that the letter and certificate can be issued. </w:t>
      </w:r>
    </w:p>
    <w:p w14:paraId="1846045F" w14:textId="66B54AFE" w:rsidR="00586C9B" w:rsidRPr="00586FD2" w:rsidRDefault="00586C9B" w:rsidP="00586C9B">
      <w:pPr>
        <w:pStyle w:val="ListParagraph"/>
        <w:numPr>
          <w:ilvl w:val="1"/>
          <w:numId w:val="14"/>
        </w:numPr>
        <w:rPr>
          <w:lang w:val="en-CA"/>
        </w:rPr>
      </w:pPr>
      <w:r w:rsidRPr="00586FD2">
        <w:rPr>
          <w:lang w:val="en-CA"/>
        </w:rPr>
        <w:t xml:space="preserve">Students may also be eligible to have their volunteer hours of service recognized on their </w:t>
      </w:r>
      <w:r w:rsidR="004F71DA" w:rsidRPr="00586FD2">
        <w:rPr>
          <w:lang w:val="en-CA"/>
        </w:rPr>
        <w:t xml:space="preserve">Work Integrated Learning (WIL) </w:t>
      </w:r>
      <w:r w:rsidRPr="00586FD2">
        <w:rPr>
          <w:lang w:val="en-CA"/>
        </w:rPr>
        <w:t xml:space="preserve">transcript at the University of Lethbridge. Committee Chairs will submit the hours of service provided by each of their student members during the academic year to the </w:t>
      </w:r>
      <w:r w:rsidR="00C70ED9" w:rsidRPr="00586FD2">
        <w:rPr>
          <w:lang w:val="en-CA"/>
        </w:rPr>
        <w:t xml:space="preserve">Academic Advisor at U of L each May, in order to initiate this process. </w:t>
      </w:r>
    </w:p>
    <w:p w14:paraId="22404CD1" w14:textId="77777777" w:rsidR="00C70ED9" w:rsidRPr="00C70ED9" w:rsidRDefault="00C70ED9" w:rsidP="00C70ED9">
      <w:pPr>
        <w:rPr>
          <w:lang w:val="en-CA"/>
        </w:rPr>
      </w:pPr>
    </w:p>
    <w:p w14:paraId="4287A9AE" w14:textId="0264BE86" w:rsidR="00D75385" w:rsidRPr="007C1AA4" w:rsidRDefault="00993AC4" w:rsidP="002F7A57">
      <w:pPr>
        <w:pBdr>
          <w:bottom w:val="single" w:sz="4" w:space="1" w:color="auto"/>
        </w:pBdr>
        <w:rPr>
          <w:b/>
          <w:lang w:val="en-CA"/>
        </w:rPr>
      </w:pPr>
      <w:r w:rsidRPr="007C1AA4">
        <w:rPr>
          <w:b/>
          <w:lang w:val="en-CA"/>
        </w:rPr>
        <w:t>APPENDIX:</w:t>
      </w:r>
    </w:p>
    <w:p w14:paraId="69856348" w14:textId="545025A1" w:rsidR="0043076E" w:rsidRPr="0043076E" w:rsidRDefault="0043076E" w:rsidP="00543C9E">
      <w:pPr>
        <w:rPr>
          <w:lang w:val="en-CA"/>
        </w:rPr>
      </w:pPr>
      <w:r w:rsidRPr="0043076E">
        <w:rPr>
          <w:lang w:val="en-CA"/>
        </w:rPr>
        <w:t xml:space="preserve">N/A </w:t>
      </w:r>
    </w:p>
    <w:p w14:paraId="3D3EB0A6" w14:textId="77777777" w:rsidR="005F031C" w:rsidRPr="002F7A57" w:rsidRDefault="00993AC4" w:rsidP="0060008A">
      <w:pPr>
        <w:pBdr>
          <w:bottom w:val="single" w:sz="4" w:space="1" w:color="auto"/>
        </w:pBdr>
        <w:rPr>
          <w:lang w:val="en-CA"/>
        </w:rPr>
      </w:pPr>
      <w:r w:rsidRPr="002F7A57">
        <w:rPr>
          <w:b/>
          <w:lang w:val="en-CA"/>
        </w:rPr>
        <w:t>RELATED PO</w:t>
      </w:r>
      <w:r w:rsidR="002F7A57">
        <w:rPr>
          <w:b/>
          <w:lang w:val="en-CA"/>
        </w:rPr>
        <w:t>LICIES/</w:t>
      </w:r>
      <w:r w:rsidRPr="002F7A57">
        <w:rPr>
          <w:b/>
          <w:lang w:val="en-CA"/>
        </w:rPr>
        <w:t>ASSOCIATED GUIDELINES:</w:t>
      </w:r>
      <w:r w:rsidR="000F65D8">
        <w:rPr>
          <w:b/>
          <w:lang w:val="en-CA"/>
        </w:rPr>
        <w:t xml:space="preserve"> </w:t>
      </w:r>
    </w:p>
    <w:p w14:paraId="290BB4EF" w14:textId="57BFF6BF" w:rsidR="00F82807" w:rsidRPr="0043076E" w:rsidRDefault="00E62799" w:rsidP="0043076E">
      <w:pPr>
        <w:rPr>
          <w:lang w:val="en-CA"/>
        </w:rPr>
      </w:pPr>
      <w:r>
        <w:rPr>
          <w:lang w:val="en-CA"/>
        </w:rPr>
        <w:t xml:space="preserve">Policy:  </w:t>
      </w:r>
      <w:r w:rsidR="0043076E" w:rsidRPr="0043076E">
        <w:rPr>
          <w:lang w:val="en-CA"/>
        </w:rPr>
        <w:t xml:space="preserve">Attendance  </w:t>
      </w:r>
    </w:p>
    <w:p w14:paraId="41290C7E" w14:textId="1A304320" w:rsidR="0043076E" w:rsidRDefault="00993AC4" w:rsidP="00C059F5">
      <w:pPr>
        <w:pBdr>
          <w:bottom w:val="single" w:sz="4" w:space="1" w:color="auto"/>
        </w:pBdr>
        <w:rPr>
          <w:lang w:val="en-CA"/>
        </w:rPr>
      </w:pPr>
      <w:r w:rsidRPr="002F7A57">
        <w:rPr>
          <w:b/>
          <w:lang w:val="en-CA"/>
        </w:rPr>
        <w:t>REFERENCES:</w:t>
      </w:r>
      <w:r w:rsidR="00E02380" w:rsidRPr="002F7A57">
        <w:rPr>
          <w:lang w:val="en-CA"/>
        </w:rPr>
        <w:t xml:space="preserve">  </w:t>
      </w:r>
    </w:p>
    <w:p w14:paraId="5ED1052E" w14:textId="38876AC6" w:rsidR="00C059F5" w:rsidRPr="00C059F5" w:rsidRDefault="0043076E" w:rsidP="00543C9E">
      <w:pPr>
        <w:rPr>
          <w:lang w:val="en-CA"/>
        </w:rPr>
      </w:pPr>
      <w:r w:rsidRPr="0043076E">
        <w:rPr>
          <w:lang w:val="en-CA"/>
        </w:rPr>
        <w:t xml:space="preserve">N/A </w:t>
      </w:r>
    </w:p>
    <w:p w14:paraId="13C09386" w14:textId="77777777" w:rsidR="00C059F5" w:rsidRDefault="00C059F5" w:rsidP="00C357E6">
      <w:pPr>
        <w:pBdr>
          <w:bottom w:val="single" w:sz="4" w:space="1" w:color="auto"/>
        </w:pBdr>
        <w:rPr>
          <w:i/>
          <w:color w:val="FF0000"/>
          <w:sz w:val="16"/>
          <w:szCs w:val="16"/>
          <w:lang w:val="en-CA"/>
        </w:rPr>
      </w:pPr>
    </w:p>
    <w:p w14:paraId="5DE83F0A" w14:textId="77777777" w:rsidR="002F7A57" w:rsidRPr="004F0AB8" w:rsidRDefault="000F65D8" w:rsidP="002F7A57">
      <w:pPr>
        <w:rPr>
          <w:b/>
          <w:i/>
          <w:lang w:val="en-CA"/>
        </w:rPr>
      </w:pPr>
      <w:r w:rsidRPr="004F0AB8">
        <w:rPr>
          <w:b/>
          <w:i/>
          <w:lang w:val="en-CA"/>
        </w:rPr>
        <w:lastRenderedPageBreak/>
        <w:t xml:space="preserve">*NOTE: NESA Policies </w:t>
      </w:r>
      <w:r w:rsidR="00D546C2">
        <w:rPr>
          <w:b/>
          <w:i/>
          <w:lang w:val="en-CA"/>
        </w:rPr>
        <w:t xml:space="preserve">exist within </w:t>
      </w:r>
      <w:r w:rsidR="004F0AB8" w:rsidRPr="004F0AB8">
        <w:rPr>
          <w:b/>
          <w:i/>
          <w:lang w:val="en-CA"/>
        </w:rPr>
        <w:t>organizational framework</w:t>
      </w:r>
      <w:r w:rsidR="00D546C2">
        <w:rPr>
          <w:b/>
          <w:i/>
          <w:lang w:val="en-CA"/>
        </w:rPr>
        <w:t>s</w:t>
      </w:r>
      <w:r w:rsidR="004F0AB8" w:rsidRPr="004F0AB8">
        <w:rPr>
          <w:b/>
          <w:i/>
          <w:lang w:val="en-CA"/>
        </w:rPr>
        <w:t xml:space="preserve"> of po</w:t>
      </w:r>
      <w:r w:rsidR="004F0AB8">
        <w:rPr>
          <w:b/>
          <w:i/>
          <w:lang w:val="en-CA"/>
        </w:rPr>
        <w:t>licy</w:t>
      </w:r>
      <w:r w:rsidR="004F0AB8" w:rsidRPr="004F0AB8">
        <w:rPr>
          <w:b/>
          <w:i/>
          <w:lang w:val="en-CA"/>
        </w:rPr>
        <w:t xml:space="preserve"> for </w:t>
      </w:r>
      <w:r w:rsidR="004F0AB8">
        <w:rPr>
          <w:b/>
          <w:i/>
          <w:lang w:val="en-CA"/>
        </w:rPr>
        <w:t>Lethbridge College and the University of Lethbridge</w:t>
      </w:r>
      <w:r w:rsidR="00C357E6" w:rsidRPr="004F0AB8">
        <w:rPr>
          <w:b/>
          <w:i/>
          <w:lang w:val="en-CA"/>
        </w:rPr>
        <w:t>,</w:t>
      </w:r>
      <w:r w:rsidR="00C357E6">
        <w:rPr>
          <w:b/>
          <w:i/>
          <w:lang w:val="en-CA"/>
        </w:rPr>
        <w:t xml:space="preserve"> and</w:t>
      </w:r>
      <w:r w:rsidR="004F0AB8">
        <w:rPr>
          <w:b/>
          <w:i/>
          <w:lang w:val="en-CA"/>
        </w:rPr>
        <w:t xml:space="preserve"> within agreements established with practice partner organizations.</w:t>
      </w:r>
      <w:r w:rsidR="004F0AB8" w:rsidRPr="004F0AB8">
        <w:rPr>
          <w:b/>
          <w:i/>
          <w:lang w:val="en-CA"/>
        </w:rPr>
        <w:t xml:space="preserve"> </w:t>
      </w:r>
      <w:proofErr w:type="gramStart"/>
      <w:r w:rsidR="00C357E6">
        <w:rPr>
          <w:b/>
          <w:i/>
          <w:lang w:val="en-CA"/>
        </w:rPr>
        <w:t>If and when</w:t>
      </w:r>
      <w:proofErr w:type="gramEnd"/>
      <w:r w:rsidR="004F0AB8">
        <w:rPr>
          <w:b/>
          <w:i/>
          <w:lang w:val="en-CA"/>
        </w:rPr>
        <w:t xml:space="preserve"> NESA policies are found to differ from such policies and agreements,</w:t>
      </w:r>
      <w:r w:rsidR="00C357E6">
        <w:rPr>
          <w:b/>
          <w:i/>
          <w:lang w:val="en-CA"/>
        </w:rPr>
        <w:t xml:space="preserve"> it is important to note that</w:t>
      </w:r>
      <w:r w:rsidR="004F0AB8">
        <w:rPr>
          <w:b/>
          <w:i/>
          <w:lang w:val="en-CA"/>
        </w:rPr>
        <w:t xml:space="preserve"> </w:t>
      </w:r>
      <w:r w:rsidR="00C357E6">
        <w:rPr>
          <w:b/>
          <w:i/>
          <w:lang w:val="en-CA"/>
        </w:rPr>
        <w:t>such policies/agreements will take precedence over NESA program policies.</w:t>
      </w:r>
    </w:p>
    <w:tbl>
      <w:tblPr>
        <w:tblStyle w:val="TableGrid"/>
        <w:tblpPr w:leftFromText="180" w:rightFromText="180" w:vertAnchor="text" w:horzAnchor="margin" w:tblpY="221"/>
        <w:tblW w:w="0" w:type="auto"/>
        <w:tblLook w:val="04A0" w:firstRow="1" w:lastRow="0" w:firstColumn="1" w:lastColumn="0" w:noHBand="0" w:noVBand="1"/>
      </w:tblPr>
      <w:tblGrid>
        <w:gridCol w:w="4676"/>
        <w:gridCol w:w="4674"/>
      </w:tblGrid>
      <w:tr w:rsidR="00146183" w14:paraId="35FD421B" w14:textId="77777777" w:rsidTr="00146183">
        <w:tc>
          <w:tcPr>
            <w:tcW w:w="4676" w:type="dxa"/>
          </w:tcPr>
          <w:p w14:paraId="7DDBAC2E" w14:textId="77777777" w:rsidR="00146183" w:rsidRPr="00AD2783" w:rsidRDefault="00146183" w:rsidP="00146183">
            <w:pPr>
              <w:rPr>
                <w:b/>
                <w:lang w:val="en-CA"/>
              </w:rPr>
            </w:pPr>
            <w:r>
              <w:rPr>
                <w:b/>
                <w:lang w:val="en-CA"/>
              </w:rPr>
              <w:t>Revised By/d</w:t>
            </w:r>
            <w:r w:rsidRPr="006F5E3D">
              <w:rPr>
                <w:b/>
                <w:lang w:val="en-CA"/>
              </w:rPr>
              <w:t>ate:</w:t>
            </w:r>
          </w:p>
        </w:tc>
        <w:tc>
          <w:tcPr>
            <w:tcW w:w="4674" w:type="dxa"/>
          </w:tcPr>
          <w:p w14:paraId="6F694EB4" w14:textId="77777777" w:rsidR="00146183" w:rsidRDefault="00146183" w:rsidP="00146183">
            <w:pPr>
              <w:rPr>
                <w:lang w:val="en-CA"/>
              </w:rPr>
            </w:pPr>
            <w:r>
              <w:rPr>
                <w:b/>
                <w:lang w:val="en-CA"/>
              </w:rPr>
              <w:t>Approved by/date:</w:t>
            </w:r>
          </w:p>
        </w:tc>
      </w:tr>
      <w:tr w:rsidR="00146183" w14:paraId="21348EF7" w14:textId="77777777" w:rsidTr="00146183">
        <w:tc>
          <w:tcPr>
            <w:tcW w:w="4676" w:type="dxa"/>
          </w:tcPr>
          <w:p w14:paraId="4FDDE33E" w14:textId="77777777" w:rsidR="00146183" w:rsidRPr="0043076E" w:rsidRDefault="00146183" w:rsidP="00146183">
            <w:pPr>
              <w:rPr>
                <w:lang w:val="en-CA"/>
              </w:rPr>
            </w:pPr>
            <w:r w:rsidRPr="0043076E">
              <w:rPr>
                <w:lang w:val="en-CA"/>
              </w:rPr>
              <w:t xml:space="preserve">Policy Review Committee: March 20, 2012 </w:t>
            </w:r>
          </w:p>
        </w:tc>
        <w:tc>
          <w:tcPr>
            <w:tcW w:w="4674" w:type="dxa"/>
          </w:tcPr>
          <w:p w14:paraId="0E63AEC6" w14:textId="77777777" w:rsidR="00146183" w:rsidRPr="0043076E" w:rsidRDefault="00146183" w:rsidP="00146183">
            <w:pPr>
              <w:rPr>
                <w:lang w:val="en-CA"/>
              </w:rPr>
            </w:pPr>
            <w:r w:rsidRPr="0043076E">
              <w:rPr>
                <w:lang w:val="en-CA"/>
              </w:rPr>
              <w:t>NESA Joint Faculty Council: April 18, 2012</w:t>
            </w:r>
          </w:p>
        </w:tc>
      </w:tr>
      <w:tr w:rsidR="00146183" w14:paraId="7A027544" w14:textId="77777777" w:rsidTr="00146183">
        <w:tc>
          <w:tcPr>
            <w:tcW w:w="4676" w:type="dxa"/>
          </w:tcPr>
          <w:p w14:paraId="785D5392" w14:textId="77777777" w:rsidR="00146183" w:rsidRPr="0043076E" w:rsidRDefault="00146183" w:rsidP="00146183">
            <w:pPr>
              <w:rPr>
                <w:lang w:val="en-CA"/>
              </w:rPr>
            </w:pPr>
            <w:r w:rsidRPr="0043076E">
              <w:rPr>
                <w:lang w:val="en-CA"/>
              </w:rPr>
              <w:t>Policy Review Committee: March 27, 2013</w:t>
            </w:r>
          </w:p>
        </w:tc>
        <w:tc>
          <w:tcPr>
            <w:tcW w:w="4674" w:type="dxa"/>
          </w:tcPr>
          <w:p w14:paraId="2F5C10EF" w14:textId="193AE7DB" w:rsidR="00146183" w:rsidRPr="0043076E" w:rsidRDefault="00146183" w:rsidP="00146183">
            <w:pPr>
              <w:rPr>
                <w:lang w:val="en-CA"/>
              </w:rPr>
            </w:pPr>
            <w:r>
              <w:rPr>
                <w:lang w:val="en-CA"/>
              </w:rPr>
              <w:t xml:space="preserve">Not Required: </w:t>
            </w:r>
            <w:r w:rsidRPr="0043076E">
              <w:rPr>
                <w:lang w:val="en-CA"/>
              </w:rPr>
              <w:t xml:space="preserve">editorial and formatting </w:t>
            </w:r>
          </w:p>
        </w:tc>
      </w:tr>
      <w:tr w:rsidR="00146183" w14:paraId="4CBBA210" w14:textId="77777777" w:rsidTr="00146183">
        <w:tc>
          <w:tcPr>
            <w:tcW w:w="4676" w:type="dxa"/>
          </w:tcPr>
          <w:p w14:paraId="4B59A6BE" w14:textId="77777777" w:rsidR="00146183" w:rsidRPr="0043076E" w:rsidRDefault="00146183" w:rsidP="00146183">
            <w:pPr>
              <w:rPr>
                <w:lang w:val="en-CA"/>
              </w:rPr>
            </w:pPr>
            <w:r>
              <w:rPr>
                <w:lang w:val="en-CA"/>
              </w:rPr>
              <w:t>Policy Review Committee: April 3, 2014</w:t>
            </w:r>
          </w:p>
        </w:tc>
        <w:tc>
          <w:tcPr>
            <w:tcW w:w="4674" w:type="dxa"/>
          </w:tcPr>
          <w:p w14:paraId="495E965F" w14:textId="1D5A32E2" w:rsidR="00146183" w:rsidRPr="0043076E" w:rsidRDefault="00146183" w:rsidP="00146183">
            <w:pPr>
              <w:rPr>
                <w:lang w:val="en-CA"/>
              </w:rPr>
            </w:pPr>
            <w:r>
              <w:rPr>
                <w:lang w:val="en-CA"/>
              </w:rPr>
              <w:t>NESA Joint Faculty Council: May 14, 2014</w:t>
            </w:r>
          </w:p>
        </w:tc>
      </w:tr>
      <w:tr w:rsidR="00146183" w14:paraId="3B78C677" w14:textId="77777777" w:rsidTr="00146183">
        <w:tc>
          <w:tcPr>
            <w:tcW w:w="4676" w:type="dxa"/>
          </w:tcPr>
          <w:p w14:paraId="55451AB3" w14:textId="77777777" w:rsidR="00146183" w:rsidRDefault="00146183" w:rsidP="00146183">
            <w:pPr>
              <w:rPr>
                <w:lang w:val="en-CA"/>
              </w:rPr>
            </w:pPr>
            <w:r>
              <w:rPr>
                <w:lang w:val="en-CA"/>
              </w:rPr>
              <w:t>Policy Review Committee: February 2015</w:t>
            </w:r>
          </w:p>
        </w:tc>
        <w:tc>
          <w:tcPr>
            <w:tcW w:w="4674" w:type="dxa"/>
          </w:tcPr>
          <w:p w14:paraId="571E2B87" w14:textId="35FC1F5F" w:rsidR="00146183" w:rsidRDefault="00146183" w:rsidP="00146183">
            <w:pPr>
              <w:rPr>
                <w:lang w:val="en-CA"/>
              </w:rPr>
            </w:pPr>
            <w:r>
              <w:rPr>
                <w:lang w:val="en-CA"/>
              </w:rPr>
              <w:t>Not Required: no change</w:t>
            </w:r>
          </w:p>
        </w:tc>
      </w:tr>
      <w:tr w:rsidR="00146183" w14:paraId="5945014D" w14:textId="77777777" w:rsidTr="00146183">
        <w:tc>
          <w:tcPr>
            <w:tcW w:w="4676" w:type="dxa"/>
          </w:tcPr>
          <w:p w14:paraId="236296B4" w14:textId="77777777" w:rsidR="00146183" w:rsidRDefault="00146183" w:rsidP="00146183">
            <w:pPr>
              <w:rPr>
                <w:lang w:val="en-CA"/>
              </w:rPr>
            </w:pPr>
            <w:r>
              <w:rPr>
                <w:lang w:val="en-CA"/>
              </w:rPr>
              <w:t>Policy Review Committee: December 2015</w:t>
            </w:r>
          </w:p>
        </w:tc>
        <w:tc>
          <w:tcPr>
            <w:tcW w:w="4674" w:type="dxa"/>
          </w:tcPr>
          <w:p w14:paraId="183C3835" w14:textId="6DFCE06F" w:rsidR="00146183" w:rsidRDefault="00146183" w:rsidP="00146183">
            <w:pPr>
              <w:rPr>
                <w:lang w:val="en-CA"/>
              </w:rPr>
            </w:pPr>
            <w:r>
              <w:rPr>
                <w:lang w:val="en-CA"/>
              </w:rPr>
              <w:t>Not Required: editorial changes</w:t>
            </w:r>
          </w:p>
        </w:tc>
      </w:tr>
      <w:tr w:rsidR="00146183" w14:paraId="55485F9F" w14:textId="77777777" w:rsidTr="00146183">
        <w:tc>
          <w:tcPr>
            <w:tcW w:w="4676" w:type="dxa"/>
          </w:tcPr>
          <w:p w14:paraId="474FBBB7" w14:textId="1852036D" w:rsidR="00146183" w:rsidRDefault="00146183" w:rsidP="00146183">
            <w:pPr>
              <w:rPr>
                <w:lang w:val="en-CA"/>
              </w:rPr>
            </w:pPr>
            <w:r>
              <w:rPr>
                <w:lang w:val="en-CA"/>
              </w:rPr>
              <w:t>Policy Review Committee: April 2017</w:t>
            </w:r>
          </w:p>
        </w:tc>
        <w:tc>
          <w:tcPr>
            <w:tcW w:w="4674" w:type="dxa"/>
          </w:tcPr>
          <w:p w14:paraId="58E14607" w14:textId="03DD74D5" w:rsidR="00146183" w:rsidRDefault="00146183" w:rsidP="00146183">
            <w:pPr>
              <w:rPr>
                <w:lang w:val="en-CA"/>
              </w:rPr>
            </w:pPr>
            <w:r>
              <w:rPr>
                <w:lang w:val="en-CA"/>
              </w:rPr>
              <w:t>NESA Joint Faculty Council: May 2017</w:t>
            </w:r>
          </w:p>
        </w:tc>
      </w:tr>
      <w:tr w:rsidR="00146183" w14:paraId="16006FEF" w14:textId="77777777" w:rsidTr="00146183">
        <w:tc>
          <w:tcPr>
            <w:tcW w:w="4676" w:type="dxa"/>
          </w:tcPr>
          <w:p w14:paraId="548931E0" w14:textId="77777777" w:rsidR="00146183" w:rsidRDefault="00146183" w:rsidP="00146183">
            <w:pPr>
              <w:rPr>
                <w:lang w:val="en-CA"/>
              </w:rPr>
            </w:pPr>
            <w:r>
              <w:rPr>
                <w:lang w:val="en-CA"/>
              </w:rPr>
              <w:t>Policy Review Committee: December 2017</w:t>
            </w:r>
          </w:p>
        </w:tc>
        <w:tc>
          <w:tcPr>
            <w:tcW w:w="4674" w:type="dxa"/>
          </w:tcPr>
          <w:p w14:paraId="2E4B336C" w14:textId="77777777" w:rsidR="00146183" w:rsidRDefault="00146183" w:rsidP="00146183">
            <w:pPr>
              <w:rPr>
                <w:lang w:val="en-CA"/>
              </w:rPr>
            </w:pPr>
            <w:r>
              <w:rPr>
                <w:lang w:val="en-CA"/>
              </w:rPr>
              <w:t>Not Required: editorial changes</w:t>
            </w:r>
          </w:p>
        </w:tc>
      </w:tr>
      <w:tr w:rsidR="00146183" w14:paraId="51857CFC" w14:textId="77777777" w:rsidTr="00146183">
        <w:tc>
          <w:tcPr>
            <w:tcW w:w="4676" w:type="dxa"/>
          </w:tcPr>
          <w:p w14:paraId="29D2D20F" w14:textId="77777777" w:rsidR="00146183" w:rsidRDefault="00146183" w:rsidP="00146183">
            <w:pPr>
              <w:rPr>
                <w:lang w:val="en-CA"/>
              </w:rPr>
            </w:pPr>
            <w:r>
              <w:rPr>
                <w:lang w:val="en-CA"/>
              </w:rPr>
              <w:t>Policy Review Committee: January 2019</w:t>
            </w:r>
          </w:p>
        </w:tc>
        <w:tc>
          <w:tcPr>
            <w:tcW w:w="4674" w:type="dxa"/>
          </w:tcPr>
          <w:p w14:paraId="17D13FB3" w14:textId="0F252F7E" w:rsidR="00146183" w:rsidRDefault="00146183" w:rsidP="00146183">
            <w:pPr>
              <w:rPr>
                <w:lang w:val="en-CA"/>
              </w:rPr>
            </w:pPr>
            <w:r>
              <w:rPr>
                <w:lang w:val="en-CA"/>
              </w:rPr>
              <w:t>Not Required: editorial changes</w:t>
            </w:r>
          </w:p>
        </w:tc>
      </w:tr>
      <w:tr w:rsidR="00146183" w14:paraId="4DE3511B" w14:textId="77777777" w:rsidTr="00146183">
        <w:tc>
          <w:tcPr>
            <w:tcW w:w="4676" w:type="dxa"/>
          </w:tcPr>
          <w:p w14:paraId="030987D8" w14:textId="79D508FA" w:rsidR="00146183" w:rsidRDefault="00146183" w:rsidP="00146183">
            <w:pPr>
              <w:rPr>
                <w:lang w:val="en-CA"/>
              </w:rPr>
            </w:pPr>
            <w:r>
              <w:rPr>
                <w:lang w:val="en-CA"/>
              </w:rPr>
              <w:t>Policy Review Committee: December 2019</w:t>
            </w:r>
          </w:p>
        </w:tc>
        <w:tc>
          <w:tcPr>
            <w:tcW w:w="4674" w:type="dxa"/>
          </w:tcPr>
          <w:p w14:paraId="1FAD13F5" w14:textId="1BAA9985" w:rsidR="00146183" w:rsidRDefault="00146183" w:rsidP="00146183">
            <w:pPr>
              <w:rPr>
                <w:lang w:val="en-CA"/>
              </w:rPr>
            </w:pPr>
            <w:r>
              <w:rPr>
                <w:lang w:val="en-CA"/>
              </w:rPr>
              <w:t>Not Required: no change</w:t>
            </w:r>
          </w:p>
        </w:tc>
      </w:tr>
      <w:tr w:rsidR="00EA5B0A" w14:paraId="6CE472F3" w14:textId="77777777" w:rsidTr="00146183">
        <w:tc>
          <w:tcPr>
            <w:tcW w:w="4676" w:type="dxa"/>
          </w:tcPr>
          <w:p w14:paraId="4325AD6E" w14:textId="01B85F04" w:rsidR="00EA5B0A" w:rsidRDefault="00EA5B0A" w:rsidP="00146183">
            <w:pPr>
              <w:rPr>
                <w:lang w:val="en-CA"/>
              </w:rPr>
            </w:pPr>
            <w:r>
              <w:rPr>
                <w:lang w:val="en-CA"/>
              </w:rPr>
              <w:t>Policy Review Committee: April 2021</w:t>
            </w:r>
          </w:p>
        </w:tc>
        <w:tc>
          <w:tcPr>
            <w:tcW w:w="4674" w:type="dxa"/>
          </w:tcPr>
          <w:p w14:paraId="177B3672" w14:textId="36C3AD89" w:rsidR="00EA5B0A" w:rsidRDefault="00EA5B0A" w:rsidP="00146183">
            <w:pPr>
              <w:rPr>
                <w:lang w:val="en-CA"/>
              </w:rPr>
            </w:pPr>
            <w:r>
              <w:rPr>
                <w:lang w:val="en-CA"/>
              </w:rPr>
              <w:t>Not Required: added student recognition</w:t>
            </w:r>
          </w:p>
        </w:tc>
      </w:tr>
    </w:tbl>
    <w:p w14:paraId="31C747CA" w14:textId="77777777" w:rsidR="002F7A57" w:rsidRDefault="002F7A57" w:rsidP="002F7A57">
      <w:pPr>
        <w:rPr>
          <w:i/>
          <w:color w:val="FF0000"/>
          <w:sz w:val="16"/>
          <w:szCs w:val="16"/>
          <w:lang w:val="en-CA"/>
        </w:rPr>
      </w:pPr>
    </w:p>
    <w:p w14:paraId="4519CC1A" w14:textId="77777777" w:rsidR="002F7A57" w:rsidRPr="002F7A57" w:rsidRDefault="002F7A57" w:rsidP="002F7A57">
      <w:pPr>
        <w:rPr>
          <w:i/>
          <w:color w:val="FF0000"/>
          <w:sz w:val="16"/>
          <w:szCs w:val="16"/>
          <w:lang w:val="en-CA"/>
        </w:rPr>
      </w:pPr>
    </w:p>
    <w:p w14:paraId="37D216E2" w14:textId="77777777" w:rsidR="00FA5EC6" w:rsidRPr="00FA5EC6" w:rsidRDefault="00FA5EC6" w:rsidP="00FA5EC6">
      <w:pPr>
        <w:rPr>
          <w:lang w:val="en-CA"/>
        </w:rPr>
      </w:pPr>
    </w:p>
    <w:sectPr w:rsidR="00FA5EC6" w:rsidRPr="00FA5EC6" w:rsidSect="00101B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F10E" w14:textId="77777777" w:rsidR="00962014" w:rsidRDefault="00962014" w:rsidP="00BC28E4">
      <w:pPr>
        <w:spacing w:after="0" w:line="240" w:lineRule="auto"/>
      </w:pPr>
      <w:r>
        <w:separator/>
      </w:r>
    </w:p>
  </w:endnote>
  <w:endnote w:type="continuationSeparator" w:id="0">
    <w:p w14:paraId="5B51680B" w14:textId="77777777" w:rsidR="00962014" w:rsidRDefault="00962014"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21D25A23" w14:textId="46A34C1B" w:rsidR="00A701AB" w:rsidRDefault="00A701AB">
        <w:pPr>
          <w:pStyle w:val="Footer"/>
          <w:jc w:val="center"/>
        </w:pPr>
        <w:r>
          <w:fldChar w:fldCharType="begin"/>
        </w:r>
        <w:r>
          <w:instrText xml:space="preserve"> PAGE   \* MERGEFORMAT </w:instrText>
        </w:r>
        <w:r>
          <w:fldChar w:fldCharType="separate"/>
        </w:r>
        <w:r w:rsidR="00EE639A">
          <w:rPr>
            <w:noProof/>
          </w:rPr>
          <w:t>2</w:t>
        </w:r>
        <w:r>
          <w:rPr>
            <w:noProof/>
          </w:rPr>
          <w:fldChar w:fldCharType="end"/>
        </w:r>
      </w:p>
    </w:sdtContent>
  </w:sdt>
  <w:p w14:paraId="1DD8B56D" w14:textId="77777777" w:rsidR="00A701AB" w:rsidRDefault="00A7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D6C7" w14:textId="77777777" w:rsidR="00962014" w:rsidRDefault="00962014" w:rsidP="00BC28E4">
      <w:pPr>
        <w:spacing w:after="0" w:line="240" w:lineRule="auto"/>
      </w:pPr>
      <w:r>
        <w:separator/>
      </w:r>
    </w:p>
  </w:footnote>
  <w:footnote w:type="continuationSeparator" w:id="0">
    <w:p w14:paraId="7961CA57" w14:textId="77777777" w:rsidR="00962014" w:rsidRDefault="00962014"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23B1" w14:textId="77777777" w:rsidR="00A701AB" w:rsidRDefault="00A701AB">
    <w:pPr>
      <w:pStyle w:val="Header"/>
    </w:pPr>
  </w:p>
  <w:p w14:paraId="20370D8D" w14:textId="77777777" w:rsidR="00A701AB" w:rsidRPr="00BC28E4" w:rsidRDefault="00A701AB">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15944"/>
    <w:multiLevelType w:val="hybridMultilevel"/>
    <w:tmpl w:val="0F442512"/>
    <w:lvl w:ilvl="0" w:tplc="FD08E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7"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Arial"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Arial"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Arial"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307D84"/>
    <w:multiLevelType w:val="hybridMultilevel"/>
    <w:tmpl w:val="2FC6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3" w15:restartNumberingAfterBreak="0">
    <w:nsid w:val="77AC496D"/>
    <w:multiLevelType w:val="hybridMultilevel"/>
    <w:tmpl w:val="0E701DFC"/>
    <w:lvl w:ilvl="0" w:tplc="E60A97A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A01739"/>
    <w:multiLevelType w:val="hybridMultilevel"/>
    <w:tmpl w:val="4258B3EA"/>
    <w:lvl w:ilvl="0" w:tplc="C3A897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2"/>
  </w:num>
  <w:num w:numId="5">
    <w:abstractNumId w:val="4"/>
  </w:num>
  <w:num w:numId="6">
    <w:abstractNumId w:val="11"/>
  </w:num>
  <w:num w:numId="7">
    <w:abstractNumId w:val="6"/>
  </w:num>
  <w:num w:numId="8">
    <w:abstractNumId w:val="14"/>
  </w:num>
  <w:num w:numId="9">
    <w:abstractNumId w:val="3"/>
  </w:num>
  <w:num w:numId="10">
    <w:abstractNumId w:val="0"/>
  </w:num>
  <w:num w:numId="11">
    <w:abstractNumId w:val="2"/>
  </w:num>
  <w:num w:numId="12">
    <w:abstractNumId w:val="7"/>
  </w:num>
  <w:num w:numId="13">
    <w:abstractNumId w:val="5"/>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77ECB"/>
    <w:rsid w:val="000865DB"/>
    <w:rsid w:val="000C6769"/>
    <w:rsid w:val="000F65D8"/>
    <w:rsid w:val="00101B3A"/>
    <w:rsid w:val="00101D6D"/>
    <w:rsid w:val="0010647D"/>
    <w:rsid w:val="00116D4B"/>
    <w:rsid w:val="00146183"/>
    <w:rsid w:val="001B1292"/>
    <w:rsid w:val="001C43EB"/>
    <w:rsid w:val="0023611A"/>
    <w:rsid w:val="002866C1"/>
    <w:rsid w:val="00292335"/>
    <w:rsid w:val="00292C54"/>
    <w:rsid w:val="002D42FC"/>
    <w:rsid w:val="002F3CBD"/>
    <w:rsid w:val="002F7A57"/>
    <w:rsid w:val="00306645"/>
    <w:rsid w:val="00322BCC"/>
    <w:rsid w:val="00341F58"/>
    <w:rsid w:val="00342EE4"/>
    <w:rsid w:val="00390DD0"/>
    <w:rsid w:val="003E6D07"/>
    <w:rsid w:val="00400B11"/>
    <w:rsid w:val="0040330E"/>
    <w:rsid w:val="0043076E"/>
    <w:rsid w:val="004347ED"/>
    <w:rsid w:val="00442B53"/>
    <w:rsid w:val="0044339F"/>
    <w:rsid w:val="00492D13"/>
    <w:rsid w:val="00494436"/>
    <w:rsid w:val="004C1BCC"/>
    <w:rsid w:val="004F0AB8"/>
    <w:rsid w:val="004F2E12"/>
    <w:rsid w:val="004F40E5"/>
    <w:rsid w:val="004F71DA"/>
    <w:rsid w:val="00511526"/>
    <w:rsid w:val="00527642"/>
    <w:rsid w:val="00542054"/>
    <w:rsid w:val="005420F6"/>
    <w:rsid w:val="00543C9E"/>
    <w:rsid w:val="00553140"/>
    <w:rsid w:val="005660E9"/>
    <w:rsid w:val="00586C9B"/>
    <w:rsid w:val="00586FD2"/>
    <w:rsid w:val="005D303A"/>
    <w:rsid w:val="005D3D1B"/>
    <w:rsid w:val="005F031C"/>
    <w:rsid w:val="0060008A"/>
    <w:rsid w:val="00604304"/>
    <w:rsid w:val="00621FC0"/>
    <w:rsid w:val="00647FF7"/>
    <w:rsid w:val="00672B17"/>
    <w:rsid w:val="006D1E78"/>
    <w:rsid w:val="006F5E3D"/>
    <w:rsid w:val="007150B6"/>
    <w:rsid w:val="00725527"/>
    <w:rsid w:val="00743AB3"/>
    <w:rsid w:val="00756911"/>
    <w:rsid w:val="00774BA6"/>
    <w:rsid w:val="00777420"/>
    <w:rsid w:val="007C109C"/>
    <w:rsid w:val="007C1AA4"/>
    <w:rsid w:val="007C4482"/>
    <w:rsid w:val="007F7C12"/>
    <w:rsid w:val="00802446"/>
    <w:rsid w:val="008250C6"/>
    <w:rsid w:val="00833FB7"/>
    <w:rsid w:val="00834FA9"/>
    <w:rsid w:val="008454F8"/>
    <w:rsid w:val="008552F8"/>
    <w:rsid w:val="00856605"/>
    <w:rsid w:val="00894084"/>
    <w:rsid w:val="008A4A96"/>
    <w:rsid w:val="00911F47"/>
    <w:rsid w:val="00923B39"/>
    <w:rsid w:val="0094624C"/>
    <w:rsid w:val="00962014"/>
    <w:rsid w:val="00963D43"/>
    <w:rsid w:val="00993AC4"/>
    <w:rsid w:val="009F4395"/>
    <w:rsid w:val="009F6E6F"/>
    <w:rsid w:val="00A12753"/>
    <w:rsid w:val="00A20549"/>
    <w:rsid w:val="00A5634F"/>
    <w:rsid w:val="00A701AB"/>
    <w:rsid w:val="00A71CE8"/>
    <w:rsid w:val="00A97C17"/>
    <w:rsid w:val="00AB43AF"/>
    <w:rsid w:val="00AD2783"/>
    <w:rsid w:val="00AE6E18"/>
    <w:rsid w:val="00B12B60"/>
    <w:rsid w:val="00B2269F"/>
    <w:rsid w:val="00B55C8F"/>
    <w:rsid w:val="00B64F22"/>
    <w:rsid w:val="00B728AD"/>
    <w:rsid w:val="00B939C7"/>
    <w:rsid w:val="00BB23AC"/>
    <w:rsid w:val="00BC28E4"/>
    <w:rsid w:val="00BD149A"/>
    <w:rsid w:val="00C059F5"/>
    <w:rsid w:val="00C1260E"/>
    <w:rsid w:val="00C27104"/>
    <w:rsid w:val="00C33C1F"/>
    <w:rsid w:val="00C357E6"/>
    <w:rsid w:val="00C66418"/>
    <w:rsid w:val="00C70ED9"/>
    <w:rsid w:val="00CB04D0"/>
    <w:rsid w:val="00CB29EF"/>
    <w:rsid w:val="00CD71EA"/>
    <w:rsid w:val="00D132AD"/>
    <w:rsid w:val="00D24B91"/>
    <w:rsid w:val="00D371B3"/>
    <w:rsid w:val="00D546C2"/>
    <w:rsid w:val="00D75385"/>
    <w:rsid w:val="00D76737"/>
    <w:rsid w:val="00D84246"/>
    <w:rsid w:val="00E02380"/>
    <w:rsid w:val="00E177E5"/>
    <w:rsid w:val="00E62799"/>
    <w:rsid w:val="00EA5B0A"/>
    <w:rsid w:val="00EE639A"/>
    <w:rsid w:val="00EF7490"/>
    <w:rsid w:val="00F673FA"/>
    <w:rsid w:val="00F82807"/>
    <w:rsid w:val="00FA5EC6"/>
    <w:rsid w:val="00FA748C"/>
    <w:rsid w:val="00FC6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39092"/>
  <w15:docId w15:val="{43DF5408-8B72-416C-A750-5D3C8007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rsid w:val="00553140"/>
    <w:rPr>
      <w:sz w:val="18"/>
      <w:szCs w:val="18"/>
    </w:rPr>
  </w:style>
  <w:style w:type="paragraph" w:styleId="CommentText">
    <w:name w:val="annotation text"/>
    <w:basedOn w:val="Normal"/>
    <w:link w:val="CommentTextChar"/>
    <w:rsid w:val="00553140"/>
    <w:pPr>
      <w:spacing w:line="240" w:lineRule="auto"/>
    </w:pPr>
    <w:rPr>
      <w:sz w:val="24"/>
      <w:szCs w:val="24"/>
    </w:rPr>
  </w:style>
  <w:style w:type="character" w:customStyle="1" w:styleId="CommentTextChar">
    <w:name w:val="Comment Text Char"/>
    <w:basedOn w:val="DefaultParagraphFont"/>
    <w:link w:val="CommentText"/>
    <w:rsid w:val="00553140"/>
    <w:rPr>
      <w:sz w:val="24"/>
      <w:szCs w:val="24"/>
    </w:rPr>
  </w:style>
  <w:style w:type="paragraph" w:styleId="CommentSubject">
    <w:name w:val="annotation subject"/>
    <w:basedOn w:val="CommentText"/>
    <w:next w:val="CommentText"/>
    <w:link w:val="CommentSubjectChar"/>
    <w:rsid w:val="00553140"/>
    <w:rPr>
      <w:b/>
      <w:bCs/>
      <w:sz w:val="20"/>
      <w:szCs w:val="20"/>
    </w:rPr>
  </w:style>
  <w:style w:type="character" w:customStyle="1" w:styleId="CommentSubjectChar">
    <w:name w:val="Comment Subject Char"/>
    <w:basedOn w:val="CommentTextChar"/>
    <w:link w:val="CommentSubject"/>
    <w:rsid w:val="00553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Taiki Marthiensen</cp:lastModifiedBy>
  <cp:revision>2</cp:revision>
  <cp:lastPrinted>2017-04-06T16:21:00Z</cp:lastPrinted>
  <dcterms:created xsi:type="dcterms:W3CDTF">2021-05-14T16:32:00Z</dcterms:created>
  <dcterms:modified xsi:type="dcterms:W3CDTF">2021-05-14T16:32:00Z</dcterms:modified>
</cp:coreProperties>
</file>