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E729" w14:textId="0C822DB5" w:rsidR="007150B6" w:rsidRPr="000C6769" w:rsidRDefault="00D84246" w:rsidP="000C6769">
      <w:pPr>
        <w:pStyle w:val="Header"/>
      </w:pPr>
      <w:r>
        <w:rPr>
          <w:lang w:val="en-CA"/>
        </w:rPr>
        <w:t xml:space="preserve"> </w:t>
      </w:r>
      <w:r w:rsidR="00B15464">
        <w:rPr>
          <w:rFonts w:ascii="Arial" w:hAnsi="Arial" w:cs="Arial"/>
          <w:b/>
          <w:noProof/>
          <w:sz w:val="20"/>
          <w:szCs w:val="20"/>
        </w:rPr>
        <w:drawing>
          <wp:inline distT="0" distB="0" distL="0" distR="0" wp14:anchorId="792037FD" wp14:editId="6410F0CD">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4116DC90" w14:textId="6A1725DC" w:rsidR="00D75385" w:rsidRPr="00993AC4" w:rsidRDefault="703339CD" w:rsidP="703339CD">
      <w:pPr>
        <w:spacing w:before="240"/>
        <w:jc w:val="center"/>
        <w:rPr>
          <w:b/>
          <w:bCs/>
          <w:sz w:val="36"/>
          <w:szCs w:val="36"/>
          <w:lang w:val="en-CA"/>
        </w:rPr>
      </w:pPr>
      <w:r w:rsidRPr="703339CD">
        <w:rPr>
          <w:b/>
          <w:bCs/>
          <w:sz w:val="36"/>
          <w:szCs w:val="36"/>
          <w:lang w:val="en-CA"/>
        </w:rPr>
        <w:t xml:space="preserve">Policy: Pre-Placement Requirements </w:t>
      </w:r>
    </w:p>
    <w:p w14:paraId="49A3CC5C" w14:textId="77777777" w:rsidR="000C6769" w:rsidRPr="00D24B91" w:rsidRDefault="703339CD" w:rsidP="703339CD">
      <w:pPr>
        <w:pBdr>
          <w:bottom w:val="single" w:sz="4" w:space="1" w:color="auto"/>
        </w:pBdr>
        <w:rPr>
          <w:b/>
          <w:bCs/>
          <w:lang w:val="en-CA"/>
        </w:rPr>
      </w:pPr>
      <w:r w:rsidRPr="703339CD">
        <w:rPr>
          <w:b/>
          <w:bCs/>
          <w:lang w:val="en-CA"/>
        </w:rPr>
        <w:t>PURPOSE:</w:t>
      </w:r>
    </w:p>
    <w:p w14:paraId="53C52F99" w14:textId="4A07376C" w:rsidR="00187ECE" w:rsidRPr="00A17BDC" w:rsidRDefault="703339CD" w:rsidP="703339CD">
      <w:pPr>
        <w:spacing w:line="240" w:lineRule="auto"/>
        <w:rPr>
          <w:rFonts w:eastAsia="Calibri" w:cs="Times New Roman"/>
        </w:rPr>
      </w:pPr>
      <w:r w:rsidRPr="703339CD">
        <w:rPr>
          <w:rFonts w:eastAsia="Calibri,Times New Roman" w:cs="Calibri,Times New Roman"/>
        </w:rPr>
        <w:t xml:space="preserve">The purpose of this policy is to inform students and faculty of the NESA BN Programs of the requirements and processes that must be completed prior to student placement in the practice setting. </w:t>
      </w:r>
    </w:p>
    <w:p w14:paraId="7530FC1C" w14:textId="212EA6D7" w:rsidR="000F65D8" w:rsidRPr="00E70751" w:rsidRDefault="703339CD" w:rsidP="703339CD">
      <w:pPr>
        <w:pBdr>
          <w:bottom w:val="single" w:sz="4" w:space="1" w:color="auto"/>
        </w:pBdr>
        <w:rPr>
          <w:lang w:val="en-CA"/>
        </w:rPr>
      </w:pPr>
      <w:r w:rsidRPr="00E70751">
        <w:rPr>
          <w:b/>
          <w:bCs/>
          <w:lang w:val="en-CA"/>
        </w:rPr>
        <w:t>DEFINITIONS:</w:t>
      </w:r>
      <w:r w:rsidR="00443067" w:rsidRPr="00443067">
        <w:rPr>
          <w:rFonts w:ascii="Arial" w:hAnsi="Arial" w:cs="Arial"/>
          <w:b/>
          <w:noProof/>
          <w:sz w:val="20"/>
          <w:szCs w:val="20"/>
        </w:rPr>
        <w:t xml:space="preserve"> </w:t>
      </w:r>
    </w:p>
    <w:p w14:paraId="4DB9547F" w14:textId="0175CD69" w:rsidR="000F65D8" w:rsidRDefault="008D79FD" w:rsidP="008D79FD">
      <w:pPr>
        <w:spacing w:after="0"/>
        <w:rPr>
          <w:lang w:val="en-CA"/>
        </w:rPr>
      </w:pPr>
      <w:r>
        <w:rPr>
          <w:lang w:val="en-CA"/>
        </w:rPr>
        <w:t>N/A</w:t>
      </w:r>
    </w:p>
    <w:p w14:paraId="4EDA93DF" w14:textId="77777777" w:rsidR="008D79FD" w:rsidRPr="008D79FD" w:rsidRDefault="008D79FD" w:rsidP="008D79FD">
      <w:pPr>
        <w:spacing w:after="0"/>
        <w:rPr>
          <w:lang w:val="en-CA"/>
        </w:rPr>
      </w:pPr>
    </w:p>
    <w:p w14:paraId="74EC244B" w14:textId="77777777" w:rsidR="000C6769" w:rsidRPr="00D24B91" w:rsidRDefault="703339CD" w:rsidP="703339CD">
      <w:pPr>
        <w:pBdr>
          <w:bottom w:val="single" w:sz="4" w:space="1" w:color="auto"/>
        </w:pBdr>
        <w:rPr>
          <w:b/>
          <w:bCs/>
          <w:lang w:val="en-CA"/>
        </w:rPr>
      </w:pPr>
      <w:r w:rsidRPr="703339CD">
        <w:rPr>
          <w:b/>
          <w:bCs/>
          <w:lang w:val="en-CA"/>
        </w:rPr>
        <w:t>POLICY SCOPE:</w:t>
      </w:r>
    </w:p>
    <w:p w14:paraId="063D61E4" w14:textId="5CDFC10E" w:rsidR="000C6769" w:rsidRPr="00CE73EA" w:rsidRDefault="703339CD" w:rsidP="00CE73EA">
      <w:pPr>
        <w:rPr>
          <w:lang w:val="en-CA"/>
        </w:rPr>
      </w:pPr>
      <w:r w:rsidRPr="703339CD">
        <w:rPr>
          <w:lang w:val="en-CA"/>
        </w:rPr>
        <w:t>This policy applies to all students currently enrolled in the NESA BN Programs.</w:t>
      </w:r>
      <w:r w:rsidR="000C6769" w:rsidRPr="00CE73EA">
        <w:rPr>
          <w:lang w:val="en-CA"/>
        </w:rPr>
        <w:t xml:space="preserve"> </w:t>
      </w:r>
    </w:p>
    <w:p w14:paraId="33BD7C7A" w14:textId="77777777" w:rsidR="006F5E3D" w:rsidRPr="00D24B91" w:rsidRDefault="703339CD" w:rsidP="703339CD">
      <w:pPr>
        <w:pBdr>
          <w:bottom w:val="single" w:sz="4" w:space="1" w:color="auto"/>
        </w:pBdr>
        <w:rPr>
          <w:b/>
          <w:bCs/>
          <w:lang w:val="en-CA"/>
        </w:rPr>
      </w:pPr>
      <w:r w:rsidRPr="703339CD">
        <w:rPr>
          <w:b/>
          <w:bCs/>
          <w:lang w:val="en-CA"/>
        </w:rPr>
        <w:t>POLICY STATEMENT(S):</w:t>
      </w:r>
    </w:p>
    <w:p w14:paraId="7EDE5A64" w14:textId="624A6CD2" w:rsidR="00604FE1" w:rsidRPr="00E70751" w:rsidRDefault="703339CD" w:rsidP="00F23AB9">
      <w:pPr>
        <w:pStyle w:val="ListParagraph"/>
        <w:numPr>
          <w:ilvl w:val="0"/>
          <w:numId w:val="19"/>
        </w:numPr>
        <w:ind w:left="426"/>
      </w:pPr>
      <w:r w:rsidRPr="00E70751">
        <w:rPr>
          <w:rFonts w:eastAsia="Calibri,Times New Roman" w:cs="Calibri,Times New Roman"/>
        </w:rPr>
        <w:t>The pre-placement requirements are in place</w:t>
      </w:r>
      <w:r w:rsidR="00E70751" w:rsidRPr="00E70751">
        <w:rPr>
          <w:rFonts w:eastAsia="Calibri,Times New Roman" w:cs="Calibri,Times New Roman"/>
        </w:rPr>
        <w:t xml:space="preserve"> </w:t>
      </w:r>
      <w:r w:rsidRPr="00E70751">
        <w:rPr>
          <w:rFonts w:eastAsia="Calibri,Times New Roman" w:cs="Calibri,Times New Roman"/>
        </w:rPr>
        <w:t>to protect students and p</w:t>
      </w:r>
      <w:r w:rsidR="00CE73EA">
        <w:rPr>
          <w:rFonts w:eastAsia="Calibri,Times New Roman" w:cs="Calibri,Times New Roman"/>
        </w:rPr>
        <w:t>atients in the practice setting;</w:t>
      </w:r>
      <w:r w:rsidRPr="00E70751">
        <w:rPr>
          <w:rFonts w:eastAsia="Calibri,Times New Roman" w:cs="Calibri,Times New Roman"/>
        </w:rPr>
        <w:t xml:space="preserve"> and to meet the policy requirements of our practice partners.</w:t>
      </w:r>
    </w:p>
    <w:p w14:paraId="1077FE2B" w14:textId="1D1A3221" w:rsidR="00604FE1" w:rsidRPr="00E70751" w:rsidRDefault="703339CD" w:rsidP="703339CD">
      <w:pPr>
        <w:pStyle w:val="ListParagraph"/>
        <w:numPr>
          <w:ilvl w:val="0"/>
          <w:numId w:val="19"/>
        </w:numPr>
        <w:ind w:left="426"/>
      </w:pPr>
      <w:r w:rsidRPr="00E70751">
        <w:rPr>
          <w:rFonts w:eastAsia="Calibri,Times New Roman" w:cs="Calibri,Times New Roman"/>
        </w:rPr>
        <w:t xml:space="preserve">The placement of students in the practice learning environment is facilitated by consistent, standardized, timely communication and documentation of pre-placement </w:t>
      </w:r>
      <w:r w:rsidRPr="00E70751">
        <w:rPr>
          <w:rFonts w:eastAsia="Calibri,Times New Roman" w:cs="Calibri,Times New Roman"/>
          <w:iCs/>
        </w:rPr>
        <w:t>requirements</w:t>
      </w:r>
      <w:r w:rsidRPr="00E70751">
        <w:rPr>
          <w:rFonts w:eastAsia="Calibri,Times New Roman" w:cs="Calibri,Times New Roman"/>
        </w:rPr>
        <w:t>.</w:t>
      </w:r>
    </w:p>
    <w:p w14:paraId="09CEB1FB" w14:textId="5E22BDB0" w:rsidR="00F23AB9" w:rsidRPr="00A17BDC" w:rsidRDefault="703339CD" w:rsidP="00F23AB9">
      <w:pPr>
        <w:pStyle w:val="ListParagraph"/>
        <w:numPr>
          <w:ilvl w:val="0"/>
          <w:numId w:val="19"/>
        </w:numPr>
        <w:ind w:left="426"/>
      </w:pPr>
      <w:r w:rsidRPr="00E70751">
        <w:t>Pre-Placement</w:t>
      </w:r>
      <w:r>
        <w:t xml:space="preserve"> Requirements </w:t>
      </w:r>
      <w:proofErr w:type="gramStart"/>
      <w:r>
        <w:t>include:</w:t>
      </w:r>
      <w:proofErr w:type="gramEnd"/>
      <w:r>
        <w:t xml:space="preserve"> recommended and required immunizations, health screening tests (e.g., Mantoux Skin test for Tuberculosis), </w:t>
      </w:r>
      <w:r w:rsidR="00303F66">
        <w:t>BLS</w:t>
      </w:r>
      <w:r>
        <w:t>-HCP Certification, Criminal Record Check, OHS requirements (e.g., Fire Safety, WHMIS, Mask Fit-testing, etc.)</w:t>
      </w:r>
      <w:r w:rsidR="00B15464">
        <w:t>, and potentially others</w:t>
      </w:r>
      <w:r>
        <w:t>.</w:t>
      </w:r>
    </w:p>
    <w:p w14:paraId="1212B396" w14:textId="4EB35178" w:rsidR="00F23AB9" w:rsidRPr="00A17BDC" w:rsidRDefault="703339CD" w:rsidP="00F23AB9">
      <w:pPr>
        <w:pStyle w:val="ListParagraph"/>
        <w:numPr>
          <w:ilvl w:val="0"/>
          <w:numId w:val="19"/>
        </w:numPr>
        <w:ind w:left="426"/>
      </w:pPr>
      <w:r>
        <w:t xml:space="preserve">It is important to note that pre-placement requirements are subject to change. </w:t>
      </w:r>
    </w:p>
    <w:p w14:paraId="5CF01497" w14:textId="355517C5" w:rsidR="00F23AB9" w:rsidRPr="00A17BDC" w:rsidRDefault="703339CD" w:rsidP="00F23AB9">
      <w:pPr>
        <w:pStyle w:val="ListParagraph"/>
        <w:numPr>
          <w:ilvl w:val="0"/>
          <w:numId w:val="19"/>
        </w:numPr>
        <w:ind w:left="426"/>
      </w:pPr>
      <w:r>
        <w:t>Students are responsible to remain current on all pre-placement requirements for the duration of any practice experience (e.g. certifications that have an annual expiration) and provide documentation of same to the appropriate office/department as stipulated in the appendix.</w:t>
      </w:r>
    </w:p>
    <w:p w14:paraId="5D03257E" w14:textId="39CBAA76" w:rsidR="00D75385" w:rsidRPr="00CE73EA" w:rsidRDefault="703339CD" w:rsidP="00CE73EA">
      <w:pPr>
        <w:pStyle w:val="ListParagraph"/>
        <w:numPr>
          <w:ilvl w:val="0"/>
          <w:numId w:val="19"/>
        </w:numPr>
        <w:ind w:left="426"/>
      </w:pPr>
      <w:r>
        <w:t xml:space="preserve">Students who do not meet the pre-placement requirements may be held from the practice setting. </w:t>
      </w:r>
    </w:p>
    <w:p w14:paraId="1EAA9657" w14:textId="77777777" w:rsidR="000C6769" w:rsidRPr="002F7A57" w:rsidRDefault="00993AC4" w:rsidP="703339CD">
      <w:pPr>
        <w:pBdr>
          <w:bottom w:val="single" w:sz="4" w:space="1" w:color="auto"/>
        </w:pBdr>
        <w:tabs>
          <w:tab w:val="center" w:pos="4680"/>
        </w:tabs>
        <w:rPr>
          <w:b/>
          <w:bCs/>
          <w:lang w:val="en-CA"/>
        </w:rPr>
      </w:pPr>
      <w:r w:rsidRPr="28A29778">
        <w:rPr>
          <w:b/>
          <w:bCs/>
          <w:lang w:val="en-CA"/>
        </w:rPr>
        <w:t xml:space="preserve">SPECIFICS OF THE POLICY: </w:t>
      </w:r>
      <w:r w:rsidR="00496670">
        <w:rPr>
          <w:b/>
          <w:lang w:val="en-CA"/>
        </w:rPr>
        <w:tab/>
      </w:r>
    </w:p>
    <w:p w14:paraId="152CFAEC" w14:textId="4D50C95A" w:rsidR="00ED3E97" w:rsidRPr="00056C93" w:rsidRDefault="00ED3E97" w:rsidP="00ED3E97">
      <w:pPr>
        <w:pStyle w:val="ListParagraph"/>
        <w:numPr>
          <w:ilvl w:val="0"/>
          <w:numId w:val="15"/>
        </w:numPr>
      </w:pPr>
      <w:r>
        <w:t xml:space="preserve">The School of Health Sciences Placement Coordinator (Lethbridge College), or designate, will update the pre-placement requirements annually, or as required, in consultation with practice partners and affiliated agencies (e.g. AHS communicable disease experts, local policing agencies, CPR providers, etc.). </w:t>
      </w:r>
    </w:p>
    <w:p w14:paraId="74039E6F" w14:textId="0E6D865C" w:rsidR="00ED3E97" w:rsidRPr="00056C93" w:rsidRDefault="00ED3E97" w:rsidP="00ED3E97">
      <w:pPr>
        <w:numPr>
          <w:ilvl w:val="0"/>
          <w:numId w:val="15"/>
        </w:numPr>
      </w:pPr>
      <w:r>
        <w:t xml:space="preserve">Pre-placement requirements are clearly communicated to students prior to commencement of the program. Incoming students will receive information on pre-placement requirements from the School of Health Sciences Placement Office (Lethbridge College) via Canada Post mail once the </w:t>
      </w:r>
      <w:r>
        <w:lastRenderedPageBreak/>
        <w:t>Lethbridge College Registrar receives notification from the University of Lethbridge Registrar of accepted students.</w:t>
      </w:r>
    </w:p>
    <w:p w14:paraId="5158C71B" w14:textId="32A52190" w:rsidR="00ED3E97" w:rsidRPr="00056C93" w:rsidRDefault="00ED3E97" w:rsidP="00ED3E97">
      <w:pPr>
        <w:numPr>
          <w:ilvl w:val="0"/>
          <w:numId w:val="15"/>
        </w:numPr>
      </w:pPr>
      <w:r>
        <w:t>Current students will be advised of any changes or additions to pre-placement requirements within a given academic calendar year via the most appropriate communication modality (e.g. Canvas/Moodle, e-mail, circulated memo, etc.).</w:t>
      </w:r>
    </w:p>
    <w:p w14:paraId="3354D431" w14:textId="76E12F9B" w:rsidR="00303F66" w:rsidRDefault="00303F66" w:rsidP="00303F66">
      <w:pPr>
        <w:numPr>
          <w:ilvl w:val="0"/>
          <w:numId w:val="15"/>
        </w:numPr>
      </w:pPr>
      <w:r>
        <w:t xml:space="preserve">Necessary consent forms (e.g. </w:t>
      </w:r>
      <w:proofErr w:type="spellStart"/>
      <w:r>
        <w:t>HSPnet</w:t>
      </w:r>
      <w:proofErr w:type="spellEnd"/>
      <w:r>
        <w:t xml:space="preserve"> consent, NESA consent form) are distributed to incoming students during Orientation sessions. Students will be provided adequate time (24 hours) to return the completed consent form and, if applicable, will receive a copy. </w:t>
      </w:r>
    </w:p>
    <w:p w14:paraId="5EBBAB09" w14:textId="3F78B60F" w:rsidR="00ED3E97" w:rsidRPr="00056C93" w:rsidRDefault="00ED3E97" w:rsidP="00ED3E97">
      <w:pPr>
        <w:numPr>
          <w:ilvl w:val="0"/>
          <w:numId w:val="15"/>
        </w:numPr>
      </w:pPr>
      <w:r>
        <w:t xml:space="preserve">Students enrolled at Lethbridge College will submit any specified documentation (e.g. </w:t>
      </w:r>
      <w:r w:rsidR="00303F66">
        <w:t xml:space="preserve">Immunization records, Police Information Check, BLS certificate, Security &amp; Confidentiality forms, </w:t>
      </w:r>
      <w:r>
        <w:t>Health Requirement Form, consent form, etc.) to the School of Health Sciences Placement Office</w:t>
      </w:r>
      <w:r w:rsidR="00303F66">
        <w:t>. St</w:t>
      </w:r>
      <w:r>
        <w:t xml:space="preserve">udents enrolled at University of Lethbridge will submit this documentation to their Faculty of Health Sciences Department for collection, monitoring, and reporting purposes. </w:t>
      </w:r>
    </w:p>
    <w:p w14:paraId="02806614" w14:textId="0F51AA78" w:rsidR="00ED3E97" w:rsidRPr="00B958A1" w:rsidRDefault="703339CD" w:rsidP="00303F66">
      <w:pPr>
        <w:numPr>
          <w:ilvl w:val="0"/>
          <w:numId w:val="15"/>
        </w:numPr>
      </w:pPr>
      <w:r>
        <w:t>Informed consent is obtained</w:t>
      </w:r>
      <w:r w:rsidR="00ED3E97">
        <w:t>,</w:t>
      </w:r>
      <w:r>
        <w:t xml:space="preserve"> and information is collected in </w:t>
      </w:r>
      <w:r w:rsidRPr="00B958A1">
        <w:t xml:space="preserve">accordance with </w:t>
      </w:r>
      <w:r w:rsidR="00CE73EA" w:rsidRPr="00B958A1">
        <w:t xml:space="preserve">the province of Alberta’s </w:t>
      </w:r>
      <w:r w:rsidRPr="00B958A1">
        <w:t>FOIP (Freedom of Information &amp; Protection of Privacy Act</w:t>
      </w:r>
      <w:r w:rsidR="00303F66">
        <w:t>)</w:t>
      </w:r>
      <w:r w:rsidRPr="00B958A1">
        <w:t xml:space="preserve"> legislation</w:t>
      </w:r>
      <w:r w:rsidR="00303F66">
        <w:t xml:space="preserve"> (Province of Alberta, 2020)</w:t>
      </w:r>
      <w:r w:rsidRPr="00B958A1">
        <w:t>.</w:t>
      </w:r>
    </w:p>
    <w:p w14:paraId="06B5DE10" w14:textId="77777777" w:rsidR="00D75385" w:rsidRDefault="703339CD" w:rsidP="703339CD">
      <w:pPr>
        <w:pBdr>
          <w:bottom w:val="single" w:sz="4" w:space="1" w:color="auto"/>
        </w:pBdr>
        <w:rPr>
          <w:b/>
          <w:bCs/>
          <w:lang w:val="en-CA"/>
        </w:rPr>
      </w:pPr>
      <w:r w:rsidRPr="703339CD">
        <w:rPr>
          <w:b/>
          <w:bCs/>
          <w:lang w:val="en-CA"/>
        </w:rPr>
        <w:t>APPENDIX:</w:t>
      </w:r>
    </w:p>
    <w:p w14:paraId="19994B09" w14:textId="651EB963" w:rsidR="00183987" w:rsidRDefault="00303F66" w:rsidP="00183987">
      <w:r>
        <w:t>N/A</w:t>
      </w:r>
    </w:p>
    <w:p w14:paraId="4AE2A1A1" w14:textId="77777777" w:rsidR="005F031C" w:rsidRPr="002F7A57" w:rsidRDefault="703339CD" w:rsidP="703339CD">
      <w:pPr>
        <w:pBdr>
          <w:bottom w:val="single" w:sz="4" w:space="1" w:color="auto"/>
        </w:pBdr>
        <w:rPr>
          <w:lang w:val="en-CA"/>
        </w:rPr>
      </w:pPr>
      <w:r w:rsidRPr="703339CD">
        <w:rPr>
          <w:b/>
          <w:bCs/>
          <w:lang w:val="en-CA"/>
        </w:rPr>
        <w:t xml:space="preserve">RELATED POLICIES/ASSOCIATED GUIDELINES: </w:t>
      </w:r>
    </w:p>
    <w:p w14:paraId="5BCCB5B7" w14:textId="2657DE98" w:rsidR="00DE2EAD" w:rsidRDefault="703339CD" w:rsidP="703339CD">
      <w:pPr>
        <w:spacing w:after="0"/>
        <w:rPr>
          <w:lang w:val="en-CA"/>
        </w:rPr>
      </w:pPr>
      <w:r w:rsidRPr="703339CD">
        <w:rPr>
          <w:lang w:val="en-CA"/>
        </w:rPr>
        <w:t xml:space="preserve">Guideline: Supporting Competence in Medication Administration </w:t>
      </w:r>
    </w:p>
    <w:p w14:paraId="6CCB5F72" w14:textId="77777777" w:rsidR="00F82807" w:rsidRPr="00993AC4" w:rsidRDefault="00442B53" w:rsidP="00DE2EAD">
      <w:pPr>
        <w:spacing w:after="0"/>
        <w:rPr>
          <w:lang w:val="en-CA"/>
        </w:rPr>
      </w:pPr>
      <w:r>
        <w:rPr>
          <w:lang w:val="en-CA"/>
        </w:rPr>
        <w:tab/>
      </w:r>
    </w:p>
    <w:p w14:paraId="3EED11A6" w14:textId="11F31E8A" w:rsidR="00C059F5" w:rsidRDefault="703339CD" w:rsidP="703339CD">
      <w:pPr>
        <w:pBdr>
          <w:bottom w:val="single" w:sz="4" w:space="1" w:color="auto"/>
        </w:pBdr>
        <w:rPr>
          <w:lang w:val="en-CA"/>
        </w:rPr>
      </w:pPr>
      <w:r w:rsidRPr="703339CD">
        <w:rPr>
          <w:b/>
          <w:bCs/>
          <w:lang w:val="en-CA"/>
        </w:rPr>
        <w:t>REFERENCES:</w:t>
      </w:r>
      <w:r w:rsidRPr="703339CD">
        <w:rPr>
          <w:lang w:val="en-CA"/>
        </w:rPr>
        <w:t xml:space="preserve"> </w:t>
      </w:r>
    </w:p>
    <w:p w14:paraId="36E74D4E" w14:textId="5C1127F0" w:rsidR="00CE73EA" w:rsidRDefault="00CE73EA" w:rsidP="703339CD">
      <w:pPr>
        <w:pBdr>
          <w:bottom w:val="single" w:sz="4" w:space="1" w:color="auto"/>
        </w:pBdr>
        <w:rPr>
          <w:lang w:val="en-CA"/>
        </w:rPr>
      </w:pPr>
      <w:r w:rsidRPr="00B958A1">
        <w:rPr>
          <w:lang w:val="en-CA"/>
        </w:rPr>
        <w:t>Province of Alberta. (</w:t>
      </w:r>
      <w:r w:rsidR="00B15464" w:rsidRPr="00B958A1">
        <w:rPr>
          <w:lang w:val="en-CA"/>
        </w:rPr>
        <w:t>20</w:t>
      </w:r>
      <w:r w:rsidR="00B15464">
        <w:rPr>
          <w:lang w:val="en-CA"/>
        </w:rPr>
        <w:t>20</w:t>
      </w:r>
      <w:r w:rsidRPr="00B958A1">
        <w:rPr>
          <w:lang w:val="en-CA"/>
        </w:rPr>
        <w:t xml:space="preserve">). </w:t>
      </w:r>
      <w:r w:rsidRPr="00B958A1">
        <w:rPr>
          <w:i/>
          <w:lang w:val="en-CA"/>
        </w:rPr>
        <w:t>Freedom of Information and Protection of Privacy Act</w:t>
      </w:r>
      <w:r w:rsidRPr="00B958A1">
        <w:rPr>
          <w:lang w:val="en-CA"/>
        </w:rPr>
        <w:t xml:space="preserve">. Retrieved from </w:t>
      </w:r>
      <w:hyperlink r:id="rId9" w:history="1">
        <w:r w:rsidRPr="00B958A1">
          <w:rPr>
            <w:rStyle w:val="Hyperlink"/>
            <w:lang w:val="en-CA"/>
          </w:rPr>
          <w:t>http://www.qp.alberta.ca/1266.cfm?page=F25.cfm&amp;leg_type=Acts&amp;isbncln=9780779762071</w:t>
        </w:r>
      </w:hyperlink>
    </w:p>
    <w:p w14:paraId="5524AEB9" w14:textId="5BE53952" w:rsidR="00C059F5" w:rsidRDefault="00C059F5" w:rsidP="00C357E6">
      <w:pPr>
        <w:pBdr>
          <w:bottom w:val="single" w:sz="4" w:space="1" w:color="auto"/>
        </w:pBdr>
        <w:rPr>
          <w:i/>
          <w:color w:val="FF0000"/>
          <w:sz w:val="16"/>
          <w:szCs w:val="16"/>
          <w:lang w:val="en-CA"/>
        </w:rPr>
      </w:pPr>
    </w:p>
    <w:p w14:paraId="36FDD634" w14:textId="77777777" w:rsidR="002F7A57" w:rsidRPr="004F0AB8" w:rsidRDefault="703339CD" w:rsidP="703339CD">
      <w:pPr>
        <w:rPr>
          <w:b/>
          <w:bCs/>
          <w:i/>
          <w:iCs/>
          <w:lang w:val="en-CA"/>
        </w:rPr>
      </w:pPr>
      <w:r w:rsidRPr="703339CD">
        <w:rPr>
          <w:b/>
          <w:bCs/>
          <w:i/>
          <w:iCs/>
          <w:lang w:val="en-CA"/>
        </w:rPr>
        <w:t xml:space="preserve">*NOTE: NESA Policies exist within organizational frameworks of policy for Lethbridge College and the University of Lethbridge, and within agreements established with practice partner organizations. </w:t>
      </w:r>
      <w:proofErr w:type="gramStart"/>
      <w:r w:rsidRPr="703339CD">
        <w:rPr>
          <w:b/>
          <w:bCs/>
          <w:i/>
          <w:iCs/>
          <w:lang w:val="en-CA"/>
        </w:rPr>
        <w:t>If and when</w:t>
      </w:r>
      <w:proofErr w:type="gramEnd"/>
      <w:r w:rsidRPr="703339CD">
        <w:rPr>
          <w:b/>
          <w:bCs/>
          <w:i/>
          <w:iCs/>
          <w:lang w:val="en-CA"/>
        </w:rPr>
        <w:t xml:space="preserve"> NESA policies are found to differ from such policies and agreements, it is important to note that such policies/agreements will take precedence over NESA program policies.</w:t>
      </w:r>
    </w:p>
    <w:p w14:paraId="7D3FBA0A" w14:textId="52781C9B" w:rsidR="002F7A57" w:rsidRPr="002F7A57" w:rsidRDefault="002F7A57" w:rsidP="002F7A57">
      <w:pPr>
        <w:rPr>
          <w:i/>
          <w:color w:val="FF0000"/>
          <w:sz w:val="16"/>
          <w:szCs w:val="16"/>
          <w:lang w:val="en-CA"/>
        </w:rPr>
      </w:pPr>
    </w:p>
    <w:tbl>
      <w:tblPr>
        <w:tblStyle w:val="TableGrid"/>
        <w:tblW w:w="0" w:type="auto"/>
        <w:tblLook w:val="04A0" w:firstRow="1" w:lastRow="0" w:firstColumn="1" w:lastColumn="0" w:noHBand="0" w:noVBand="1"/>
        <w:tblCaption w:val=""/>
        <w:tblDescription w:val=""/>
      </w:tblPr>
      <w:tblGrid>
        <w:gridCol w:w="4674"/>
        <w:gridCol w:w="4676"/>
      </w:tblGrid>
      <w:tr w:rsidR="00492D13" w14:paraId="116FE664" w14:textId="77777777" w:rsidTr="703339CD">
        <w:tc>
          <w:tcPr>
            <w:tcW w:w="4732" w:type="dxa"/>
          </w:tcPr>
          <w:p w14:paraId="52CFA146" w14:textId="77777777" w:rsidR="00492D13" w:rsidRPr="00D37A30" w:rsidRDefault="703339CD" w:rsidP="703339CD">
            <w:pPr>
              <w:rPr>
                <w:b/>
                <w:bCs/>
                <w:lang w:val="en-CA"/>
              </w:rPr>
            </w:pPr>
            <w:r w:rsidRPr="703339CD">
              <w:rPr>
                <w:b/>
                <w:bCs/>
                <w:lang w:val="en-CA"/>
              </w:rPr>
              <w:t xml:space="preserve">Revised By/Date: </w:t>
            </w:r>
          </w:p>
        </w:tc>
        <w:tc>
          <w:tcPr>
            <w:tcW w:w="4732" w:type="dxa"/>
          </w:tcPr>
          <w:p w14:paraId="126AB149" w14:textId="77777777" w:rsidR="006F5E3D" w:rsidRDefault="703339CD" w:rsidP="703339CD">
            <w:pPr>
              <w:rPr>
                <w:lang w:val="en-CA"/>
              </w:rPr>
            </w:pPr>
            <w:r w:rsidRPr="703339CD">
              <w:rPr>
                <w:b/>
                <w:bCs/>
                <w:lang w:val="en-CA"/>
              </w:rPr>
              <w:t>Approved by/date:</w:t>
            </w:r>
            <w:r w:rsidRPr="703339CD">
              <w:rPr>
                <w:lang w:val="en-CA"/>
              </w:rPr>
              <w:t xml:space="preserve"> </w:t>
            </w:r>
            <w:r>
              <w:t>NESA BN Programs</w:t>
            </w:r>
          </w:p>
          <w:p w14:paraId="64019C1B" w14:textId="77777777" w:rsidR="00492D13" w:rsidRDefault="00492D13" w:rsidP="006F5E3D">
            <w:pPr>
              <w:rPr>
                <w:lang w:val="en-CA"/>
              </w:rPr>
            </w:pPr>
          </w:p>
        </w:tc>
      </w:tr>
      <w:tr w:rsidR="00183987" w14:paraId="7A2EC1D2" w14:textId="77777777" w:rsidTr="703339CD">
        <w:tc>
          <w:tcPr>
            <w:tcW w:w="4732" w:type="dxa"/>
            <w:shd w:val="clear" w:color="auto" w:fill="auto"/>
          </w:tcPr>
          <w:p w14:paraId="51166529" w14:textId="2C4249A3" w:rsidR="00183987" w:rsidRPr="000D6753" w:rsidRDefault="703339CD" w:rsidP="703339CD">
            <w:pPr>
              <w:rPr>
                <w:b/>
                <w:bCs/>
                <w:lang w:val="en-CA"/>
              </w:rPr>
            </w:pPr>
            <w:r>
              <w:t>Policy Review Committee: March 2012</w:t>
            </w:r>
          </w:p>
        </w:tc>
        <w:tc>
          <w:tcPr>
            <w:tcW w:w="4732" w:type="dxa"/>
          </w:tcPr>
          <w:p w14:paraId="776344E3" w14:textId="77777777" w:rsidR="00183987" w:rsidRDefault="703339CD" w:rsidP="703339CD">
            <w:pPr>
              <w:rPr>
                <w:b/>
                <w:bCs/>
                <w:lang w:val="en-CA"/>
              </w:rPr>
            </w:pPr>
            <w:r>
              <w:t>NESA Joint Faculty Council: April 18, 2012</w:t>
            </w:r>
            <w:r w:rsidRPr="703339CD">
              <w:rPr>
                <w:lang w:val="en-CA"/>
              </w:rPr>
              <w:t xml:space="preserve"> </w:t>
            </w:r>
          </w:p>
        </w:tc>
      </w:tr>
      <w:tr w:rsidR="00183987" w:rsidRPr="00183987" w14:paraId="65139C26" w14:textId="77777777" w:rsidTr="703339CD">
        <w:tc>
          <w:tcPr>
            <w:tcW w:w="4732" w:type="dxa"/>
            <w:shd w:val="clear" w:color="auto" w:fill="auto"/>
          </w:tcPr>
          <w:p w14:paraId="57B648C2" w14:textId="060FC0E5" w:rsidR="00183987" w:rsidRPr="000D6753" w:rsidRDefault="703339CD" w:rsidP="703339CD">
            <w:pPr>
              <w:rPr>
                <w:lang w:val="en-CA"/>
              </w:rPr>
            </w:pPr>
            <w:r w:rsidRPr="703339CD">
              <w:rPr>
                <w:lang w:val="en-CA"/>
              </w:rPr>
              <w:t>Policy Review Committee: April 2014</w:t>
            </w:r>
          </w:p>
        </w:tc>
        <w:tc>
          <w:tcPr>
            <w:tcW w:w="4732" w:type="dxa"/>
          </w:tcPr>
          <w:p w14:paraId="58F65B94" w14:textId="58B0EBFF" w:rsidR="00183987" w:rsidRPr="00183987" w:rsidRDefault="703339CD" w:rsidP="703339CD">
            <w:pPr>
              <w:rPr>
                <w:lang w:val="en-CA"/>
              </w:rPr>
            </w:pPr>
            <w:r w:rsidRPr="703339CD">
              <w:rPr>
                <w:lang w:val="en-CA"/>
              </w:rPr>
              <w:t xml:space="preserve">Not </w:t>
            </w:r>
            <w:r w:rsidR="00B958A1">
              <w:rPr>
                <w:lang w:val="en-CA"/>
              </w:rPr>
              <w:t>R</w:t>
            </w:r>
            <w:r w:rsidRPr="703339CD">
              <w:rPr>
                <w:lang w:val="en-CA"/>
              </w:rPr>
              <w:t>equired: formatting and editorial</w:t>
            </w:r>
          </w:p>
        </w:tc>
      </w:tr>
      <w:tr w:rsidR="00224EED" w:rsidRPr="00183987" w14:paraId="43CF793B" w14:textId="77777777" w:rsidTr="703339CD">
        <w:tc>
          <w:tcPr>
            <w:tcW w:w="4732" w:type="dxa"/>
            <w:shd w:val="clear" w:color="auto" w:fill="auto"/>
          </w:tcPr>
          <w:p w14:paraId="7E21C35F" w14:textId="110D5ABC" w:rsidR="00224EED" w:rsidRPr="000D6753" w:rsidRDefault="703339CD" w:rsidP="703339CD">
            <w:pPr>
              <w:rPr>
                <w:lang w:val="en-CA"/>
              </w:rPr>
            </w:pPr>
            <w:r w:rsidRPr="703339CD">
              <w:rPr>
                <w:lang w:val="en-CA"/>
              </w:rPr>
              <w:lastRenderedPageBreak/>
              <w:t>Policy Review Committee: March 2015</w:t>
            </w:r>
          </w:p>
        </w:tc>
        <w:tc>
          <w:tcPr>
            <w:tcW w:w="4732" w:type="dxa"/>
          </w:tcPr>
          <w:p w14:paraId="7B48ED81" w14:textId="142D71F4" w:rsidR="00224EED" w:rsidRDefault="703339CD" w:rsidP="703339CD">
            <w:pPr>
              <w:rPr>
                <w:lang w:val="en-CA"/>
              </w:rPr>
            </w:pPr>
            <w:r w:rsidRPr="703339CD">
              <w:rPr>
                <w:lang w:val="en-CA"/>
              </w:rPr>
              <w:t xml:space="preserve">Not </w:t>
            </w:r>
            <w:r w:rsidR="00B958A1">
              <w:rPr>
                <w:lang w:val="en-CA"/>
              </w:rPr>
              <w:t>R</w:t>
            </w:r>
            <w:r w:rsidRPr="703339CD">
              <w:rPr>
                <w:lang w:val="en-CA"/>
              </w:rPr>
              <w:t>equired: editorial and formatting</w:t>
            </w:r>
          </w:p>
        </w:tc>
      </w:tr>
      <w:tr w:rsidR="28A29778" w14:paraId="379C2879" w14:textId="77777777" w:rsidTr="703339CD">
        <w:tc>
          <w:tcPr>
            <w:tcW w:w="4732" w:type="dxa"/>
            <w:shd w:val="clear" w:color="auto" w:fill="auto"/>
          </w:tcPr>
          <w:p w14:paraId="64E733A4" w14:textId="485E8675" w:rsidR="28A29778" w:rsidRDefault="703339CD" w:rsidP="28A29778">
            <w:r w:rsidRPr="703339CD">
              <w:rPr>
                <w:lang w:val="en-CA"/>
              </w:rPr>
              <w:t>Policy Review Committee: December 2015</w:t>
            </w:r>
          </w:p>
        </w:tc>
        <w:tc>
          <w:tcPr>
            <w:tcW w:w="4732" w:type="dxa"/>
          </w:tcPr>
          <w:p w14:paraId="418B539A" w14:textId="7671E6BA" w:rsidR="28A29778" w:rsidRDefault="703339CD" w:rsidP="28A29778">
            <w:r w:rsidRPr="703339CD">
              <w:rPr>
                <w:lang w:val="en-CA"/>
              </w:rPr>
              <w:t xml:space="preserve">Not </w:t>
            </w:r>
            <w:r w:rsidR="00B958A1">
              <w:rPr>
                <w:lang w:val="en-CA"/>
              </w:rPr>
              <w:t>R</w:t>
            </w:r>
            <w:r w:rsidRPr="703339CD">
              <w:rPr>
                <w:lang w:val="en-CA"/>
              </w:rPr>
              <w:t>equired: no change</w:t>
            </w:r>
          </w:p>
        </w:tc>
      </w:tr>
      <w:tr w:rsidR="00A17BDC" w14:paraId="7FFA9CFD" w14:textId="77777777" w:rsidTr="703339CD">
        <w:tc>
          <w:tcPr>
            <w:tcW w:w="4732" w:type="dxa"/>
            <w:shd w:val="clear" w:color="auto" w:fill="auto"/>
          </w:tcPr>
          <w:p w14:paraId="093AF6C2" w14:textId="6D591E21" w:rsidR="00A17BDC" w:rsidRPr="28A29778" w:rsidRDefault="703339CD" w:rsidP="703339CD">
            <w:pPr>
              <w:rPr>
                <w:lang w:val="en-CA"/>
              </w:rPr>
            </w:pPr>
            <w:r w:rsidRPr="703339CD">
              <w:rPr>
                <w:lang w:val="en-CA"/>
              </w:rPr>
              <w:t>Policy Review Committee: December 2016</w:t>
            </w:r>
          </w:p>
        </w:tc>
        <w:tc>
          <w:tcPr>
            <w:tcW w:w="4732" w:type="dxa"/>
          </w:tcPr>
          <w:p w14:paraId="3619345D" w14:textId="75485CED" w:rsidR="00A17BDC" w:rsidRPr="28A29778" w:rsidRDefault="703339CD" w:rsidP="703339CD">
            <w:pPr>
              <w:rPr>
                <w:lang w:val="en-CA"/>
              </w:rPr>
            </w:pPr>
            <w:r w:rsidRPr="703339CD">
              <w:rPr>
                <w:lang w:val="en-CA"/>
              </w:rPr>
              <w:t xml:space="preserve">Not </w:t>
            </w:r>
            <w:r w:rsidR="00B958A1">
              <w:rPr>
                <w:lang w:val="en-CA"/>
              </w:rPr>
              <w:t>R</w:t>
            </w:r>
            <w:r w:rsidRPr="703339CD">
              <w:rPr>
                <w:lang w:val="en-CA"/>
              </w:rPr>
              <w:t>equired: editorial and formatting</w:t>
            </w:r>
          </w:p>
        </w:tc>
      </w:tr>
      <w:tr w:rsidR="00E70751" w14:paraId="70BCF781" w14:textId="77777777" w:rsidTr="703339CD">
        <w:tc>
          <w:tcPr>
            <w:tcW w:w="4732" w:type="dxa"/>
            <w:shd w:val="clear" w:color="auto" w:fill="auto"/>
          </w:tcPr>
          <w:p w14:paraId="228E261E" w14:textId="70D1718E" w:rsidR="00E70751" w:rsidRPr="703339CD" w:rsidRDefault="00E70751" w:rsidP="00376735">
            <w:pPr>
              <w:rPr>
                <w:lang w:val="en-CA"/>
              </w:rPr>
            </w:pPr>
            <w:r>
              <w:rPr>
                <w:lang w:val="en-CA"/>
              </w:rPr>
              <w:t xml:space="preserve">Policy Review Committee: </w:t>
            </w:r>
            <w:r w:rsidR="00376735">
              <w:rPr>
                <w:lang w:val="en-CA"/>
              </w:rPr>
              <w:t>January 2018</w:t>
            </w:r>
          </w:p>
        </w:tc>
        <w:tc>
          <w:tcPr>
            <w:tcW w:w="4732" w:type="dxa"/>
          </w:tcPr>
          <w:p w14:paraId="425923BE" w14:textId="4C34044B" w:rsidR="00E70751" w:rsidRPr="703339CD" w:rsidRDefault="00E70751" w:rsidP="703339CD">
            <w:pPr>
              <w:rPr>
                <w:lang w:val="en-CA"/>
              </w:rPr>
            </w:pPr>
            <w:r>
              <w:rPr>
                <w:lang w:val="en-CA"/>
              </w:rPr>
              <w:t>Not Required: editorial changes</w:t>
            </w:r>
          </w:p>
        </w:tc>
      </w:tr>
      <w:tr w:rsidR="003C0CFC" w14:paraId="776D875F" w14:textId="77777777" w:rsidTr="703339CD">
        <w:tc>
          <w:tcPr>
            <w:tcW w:w="4732" w:type="dxa"/>
            <w:shd w:val="clear" w:color="auto" w:fill="auto"/>
          </w:tcPr>
          <w:p w14:paraId="5ABBD6CA" w14:textId="1AB74B5E" w:rsidR="003C0CFC" w:rsidRDefault="003C0CFC" w:rsidP="00376735">
            <w:pPr>
              <w:rPr>
                <w:lang w:val="en-CA"/>
              </w:rPr>
            </w:pPr>
            <w:r>
              <w:rPr>
                <w:lang w:val="en-CA"/>
              </w:rPr>
              <w:t>Policy Review Committee: January 2019</w:t>
            </w:r>
          </w:p>
        </w:tc>
        <w:tc>
          <w:tcPr>
            <w:tcW w:w="4732" w:type="dxa"/>
          </w:tcPr>
          <w:p w14:paraId="732BEE9A" w14:textId="2148E0D9" w:rsidR="003C0CFC" w:rsidRDefault="003C0CFC" w:rsidP="703339CD">
            <w:pPr>
              <w:rPr>
                <w:lang w:val="en-CA"/>
              </w:rPr>
            </w:pPr>
            <w:r>
              <w:rPr>
                <w:lang w:val="en-CA"/>
              </w:rPr>
              <w:t xml:space="preserve">Not </w:t>
            </w:r>
            <w:r w:rsidR="00B958A1">
              <w:rPr>
                <w:lang w:val="en-CA"/>
              </w:rPr>
              <w:t>R</w:t>
            </w:r>
            <w:r>
              <w:rPr>
                <w:lang w:val="en-CA"/>
              </w:rPr>
              <w:t>equired: editorial changes</w:t>
            </w:r>
          </w:p>
        </w:tc>
      </w:tr>
      <w:tr w:rsidR="00CE73EA" w14:paraId="74F14FC1" w14:textId="77777777" w:rsidTr="703339CD">
        <w:tc>
          <w:tcPr>
            <w:tcW w:w="4732" w:type="dxa"/>
            <w:shd w:val="clear" w:color="auto" w:fill="auto"/>
          </w:tcPr>
          <w:p w14:paraId="716E9FBD" w14:textId="5600304B" w:rsidR="00CE73EA" w:rsidRPr="00B958A1" w:rsidRDefault="00CE73EA" w:rsidP="00376735">
            <w:pPr>
              <w:rPr>
                <w:lang w:val="en-CA"/>
              </w:rPr>
            </w:pPr>
            <w:r w:rsidRPr="00B958A1">
              <w:rPr>
                <w:lang w:val="en-CA"/>
              </w:rPr>
              <w:t xml:space="preserve">Policy Review Committee: </w:t>
            </w:r>
            <w:r w:rsidR="00B958A1" w:rsidRPr="00B958A1">
              <w:rPr>
                <w:lang w:val="en-CA"/>
              </w:rPr>
              <w:t>February 2020</w:t>
            </w:r>
          </w:p>
        </w:tc>
        <w:tc>
          <w:tcPr>
            <w:tcW w:w="4732" w:type="dxa"/>
          </w:tcPr>
          <w:p w14:paraId="3BF3041B" w14:textId="703795B7" w:rsidR="0046612F" w:rsidRPr="00B958A1" w:rsidRDefault="00CE73EA" w:rsidP="703339CD">
            <w:pPr>
              <w:rPr>
                <w:lang w:val="en-CA"/>
              </w:rPr>
            </w:pPr>
            <w:r w:rsidRPr="00B958A1">
              <w:rPr>
                <w:lang w:val="en-CA"/>
              </w:rPr>
              <w:t xml:space="preserve">Not </w:t>
            </w:r>
            <w:r w:rsidR="00B958A1">
              <w:rPr>
                <w:lang w:val="en-CA"/>
              </w:rPr>
              <w:t>R</w:t>
            </w:r>
            <w:r w:rsidRPr="00B958A1">
              <w:rPr>
                <w:lang w:val="en-CA"/>
              </w:rPr>
              <w:t>equired: editorial changes</w:t>
            </w:r>
            <w:r w:rsidR="00443067">
              <w:rPr>
                <w:lang w:val="en-CA"/>
              </w:rPr>
              <w:t>/link update</w:t>
            </w:r>
          </w:p>
        </w:tc>
      </w:tr>
      <w:tr w:rsidR="0046612F" w14:paraId="5497D76D" w14:textId="77777777" w:rsidTr="703339CD">
        <w:tc>
          <w:tcPr>
            <w:tcW w:w="4732" w:type="dxa"/>
            <w:shd w:val="clear" w:color="auto" w:fill="auto"/>
          </w:tcPr>
          <w:p w14:paraId="228413BC" w14:textId="53D3F8CC" w:rsidR="0046612F" w:rsidRPr="00B958A1" w:rsidRDefault="0046612F" w:rsidP="00376735">
            <w:pPr>
              <w:rPr>
                <w:lang w:val="en-CA"/>
              </w:rPr>
            </w:pPr>
            <w:r>
              <w:rPr>
                <w:lang w:val="en-CA"/>
              </w:rPr>
              <w:t>Policy Review Committee: March 2021</w:t>
            </w:r>
          </w:p>
        </w:tc>
        <w:tc>
          <w:tcPr>
            <w:tcW w:w="4732" w:type="dxa"/>
          </w:tcPr>
          <w:p w14:paraId="3FF5D276" w14:textId="5061F3F0" w:rsidR="0046612F" w:rsidRPr="00B958A1" w:rsidRDefault="0046612F" w:rsidP="703339CD">
            <w:pPr>
              <w:rPr>
                <w:lang w:val="en-CA"/>
              </w:rPr>
            </w:pPr>
            <w:r>
              <w:rPr>
                <w:lang w:val="en-CA"/>
              </w:rPr>
              <w:t>Not Required: Updated process to current practice.</w:t>
            </w:r>
          </w:p>
        </w:tc>
      </w:tr>
    </w:tbl>
    <w:p w14:paraId="2A3C5557" w14:textId="7E160E27" w:rsidR="00183987" w:rsidRDefault="00183987" w:rsidP="00303F66">
      <w:pPr>
        <w:rPr>
          <w:lang w:val="en-CA"/>
        </w:rPr>
      </w:pPr>
    </w:p>
    <w:p w14:paraId="2F29EED2" w14:textId="76BBC37B" w:rsidR="00303F66" w:rsidRDefault="00303F66" w:rsidP="00303F66">
      <w:pPr>
        <w:rPr>
          <w:lang w:val="en-CA"/>
        </w:rPr>
      </w:pPr>
    </w:p>
    <w:p w14:paraId="1C4733AE" w14:textId="77777777" w:rsidR="00303F66" w:rsidRPr="00303F66" w:rsidRDefault="00303F66" w:rsidP="00303F66">
      <w:pPr>
        <w:rPr>
          <w:lang w:val="en-CA"/>
        </w:rPr>
      </w:pPr>
    </w:p>
    <w:sectPr w:rsidR="00303F66" w:rsidRPr="00303F66" w:rsidSect="00101B3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71A8" w14:textId="77777777" w:rsidR="006F3C66" w:rsidRDefault="006F3C66" w:rsidP="00BC28E4">
      <w:pPr>
        <w:spacing w:after="0" w:line="240" w:lineRule="auto"/>
      </w:pPr>
      <w:r>
        <w:separator/>
      </w:r>
    </w:p>
  </w:endnote>
  <w:endnote w:type="continuationSeparator" w:id="0">
    <w:p w14:paraId="1BE09A10" w14:textId="77777777" w:rsidR="006F3C66" w:rsidRDefault="006F3C66"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002954"/>
      <w:docPartObj>
        <w:docPartGallery w:val="Page Numbers (Bottom of Page)"/>
        <w:docPartUnique/>
      </w:docPartObj>
    </w:sdtPr>
    <w:sdtEndPr>
      <w:rPr>
        <w:noProof/>
      </w:rPr>
    </w:sdtEndPr>
    <w:sdtContent>
      <w:p w14:paraId="0820C4D9" w14:textId="038EB288" w:rsidR="00BC28E4" w:rsidRDefault="00342EE4">
        <w:pPr>
          <w:pStyle w:val="Footer"/>
          <w:jc w:val="center"/>
        </w:pPr>
        <w:r>
          <w:fldChar w:fldCharType="begin"/>
        </w:r>
        <w:r w:rsidR="00BC28E4">
          <w:instrText xml:space="preserve"> PAGE   \* MERGEFORMAT </w:instrText>
        </w:r>
        <w:r>
          <w:fldChar w:fldCharType="separate"/>
        </w:r>
        <w:r w:rsidR="00675117">
          <w:rPr>
            <w:noProof/>
          </w:rPr>
          <w:t>2</w:t>
        </w:r>
        <w:r>
          <w:rPr>
            <w:noProof/>
          </w:rPr>
          <w:fldChar w:fldCharType="end"/>
        </w:r>
      </w:p>
    </w:sdtContent>
  </w:sdt>
  <w:p w14:paraId="252BA184"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8073" w14:textId="77777777" w:rsidR="006F3C66" w:rsidRDefault="006F3C66" w:rsidP="00BC28E4">
      <w:pPr>
        <w:spacing w:after="0" w:line="240" w:lineRule="auto"/>
      </w:pPr>
      <w:r>
        <w:separator/>
      </w:r>
    </w:p>
  </w:footnote>
  <w:footnote w:type="continuationSeparator" w:id="0">
    <w:p w14:paraId="30F1A54D" w14:textId="77777777" w:rsidR="006F3C66" w:rsidRDefault="006F3C66"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F977" w14:textId="77777777" w:rsidR="00BC28E4" w:rsidRDefault="00BC28E4">
    <w:pPr>
      <w:pStyle w:val="Header"/>
    </w:pPr>
  </w:p>
  <w:p w14:paraId="02F3CE90"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F0A"/>
    <w:multiLevelType w:val="hybridMultilevel"/>
    <w:tmpl w:val="492EF67A"/>
    <w:lvl w:ilvl="0" w:tplc="10090001">
      <w:start w:val="1"/>
      <w:numFmt w:val="bullet"/>
      <w:lvlText w:val=""/>
      <w:lvlJc w:val="left"/>
      <w:pPr>
        <w:ind w:left="720" w:hanging="360"/>
      </w:pPr>
      <w:rPr>
        <w:rFonts w:ascii="Symbol" w:hAnsi="Symbol" w:hint="default"/>
      </w:rPr>
    </w:lvl>
    <w:lvl w:ilvl="1" w:tplc="5DA28852">
      <w:numFmt w:val="bullet"/>
      <w:lvlText w:val="-"/>
      <w:lvlJc w:val="left"/>
      <w:pPr>
        <w:ind w:left="1440" w:hanging="360"/>
      </w:pPr>
      <w:rPr>
        <w:rFonts w:ascii="Calibri" w:eastAsia="Calibr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01F25"/>
    <w:multiLevelType w:val="hybridMultilevel"/>
    <w:tmpl w:val="0008714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30862"/>
    <w:multiLevelType w:val="hybridMultilevel"/>
    <w:tmpl w:val="DF847BEC"/>
    <w:lvl w:ilvl="0" w:tplc="78804D54">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1717F"/>
    <w:multiLevelType w:val="hybridMultilevel"/>
    <w:tmpl w:val="D270D086"/>
    <w:lvl w:ilvl="0" w:tplc="D0C25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0"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D72BF0"/>
    <w:multiLevelType w:val="hybridMultilevel"/>
    <w:tmpl w:val="DF847BEC"/>
    <w:lvl w:ilvl="0" w:tplc="78804D54">
      <w:start w:val="1"/>
      <w:numFmt w:val="decimal"/>
      <w:lvlText w:val="%1."/>
      <w:lvlJc w:val="left"/>
      <w:pPr>
        <w:ind w:left="426" w:hanging="360"/>
      </w:pPr>
      <w:rPr>
        <w:rFonts w:asciiTheme="minorHAnsi" w:eastAsiaTheme="minorHAnsi" w:hAnsiTheme="minorHAnsi" w:cstheme="minorBidi"/>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14"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B4AAF"/>
    <w:multiLevelType w:val="hybridMultilevel"/>
    <w:tmpl w:val="0FF20A4C"/>
    <w:lvl w:ilvl="0" w:tplc="FFCE2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01F62"/>
    <w:multiLevelType w:val="hybridMultilevel"/>
    <w:tmpl w:val="EB001992"/>
    <w:lvl w:ilvl="0" w:tplc="59522136">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8"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2"/>
  </w:num>
  <w:num w:numId="3">
    <w:abstractNumId w:val="3"/>
  </w:num>
  <w:num w:numId="4">
    <w:abstractNumId w:val="17"/>
  </w:num>
  <w:num w:numId="5">
    <w:abstractNumId w:val="7"/>
  </w:num>
  <w:num w:numId="6">
    <w:abstractNumId w:val="14"/>
  </w:num>
  <w:num w:numId="7">
    <w:abstractNumId w:val="9"/>
  </w:num>
  <w:num w:numId="8">
    <w:abstractNumId w:val="18"/>
  </w:num>
  <w:num w:numId="9">
    <w:abstractNumId w:val="5"/>
  </w:num>
  <w:num w:numId="10">
    <w:abstractNumId w:val="1"/>
  </w:num>
  <w:num w:numId="11">
    <w:abstractNumId w:val="4"/>
  </w:num>
  <w:num w:numId="12">
    <w:abstractNumId w:val="10"/>
  </w:num>
  <w:num w:numId="13">
    <w:abstractNumId w:val="0"/>
  </w:num>
  <w:num w:numId="14">
    <w:abstractNumId w:val="2"/>
  </w:num>
  <w:num w:numId="15">
    <w:abstractNumId w:val="13"/>
  </w:num>
  <w:num w:numId="16">
    <w:abstractNumId w:val="16"/>
  </w:num>
  <w:num w:numId="17">
    <w:abstractNumId w:val="1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444C5"/>
    <w:rsid w:val="00056C93"/>
    <w:rsid w:val="000725F3"/>
    <w:rsid w:val="000C6769"/>
    <w:rsid w:val="000D6753"/>
    <w:rsid w:val="000F65D8"/>
    <w:rsid w:val="00101B3A"/>
    <w:rsid w:val="00141BF3"/>
    <w:rsid w:val="00183987"/>
    <w:rsid w:val="00187ECE"/>
    <w:rsid w:val="001C3512"/>
    <w:rsid w:val="001C43EB"/>
    <w:rsid w:val="001E02D4"/>
    <w:rsid w:val="00224EED"/>
    <w:rsid w:val="0028379D"/>
    <w:rsid w:val="002B6C3A"/>
    <w:rsid w:val="002F7A57"/>
    <w:rsid w:val="00303F66"/>
    <w:rsid w:val="00314E6F"/>
    <w:rsid w:val="00341F58"/>
    <w:rsid w:val="00342EE4"/>
    <w:rsid w:val="003469BE"/>
    <w:rsid w:val="00376735"/>
    <w:rsid w:val="00380A4E"/>
    <w:rsid w:val="00394B92"/>
    <w:rsid w:val="003C0CFC"/>
    <w:rsid w:val="003E6D07"/>
    <w:rsid w:val="00442B53"/>
    <w:rsid w:val="00443067"/>
    <w:rsid w:val="0045008E"/>
    <w:rsid w:val="0046612F"/>
    <w:rsid w:val="00484F77"/>
    <w:rsid w:val="00492D13"/>
    <w:rsid w:val="004958CE"/>
    <w:rsid w:val="00496670"/>
    <w:rsid w:val="004E45F0"/>
    <w:rsid w:val="004F0AB8"/>
    <w:rsid w:val="004F40E5"/>
    <w:rsid w:val="00511526"/>
    <w:rsid w:val="005265AB"/>
    <w:rsid w:val="005420F6"/>
    <w:rsid w:val="00556474"/>
    <w:rsid w:val="005660E9"/>
    <w:rsid w:val="005D303A"/>
    <w:rsid w:val="005D3D1B"/>
    <w:rsid w:val="005F031C"/>
    <w:rsid w:val="005F7EB9"/>
    <w:rsid w:val="0060008A"/>
    <w:rsid w:val="00604FE1"/>
    <w:rsid w:val="00657983"/>
    <w:rsid w:val="00675117"/>
    <w:rsid w:val="006908BB"/>
    <w:rsid w:val="006F3C66"/>
    <w:rsid w:val="006F5E3D"/>
    <w:rsid w:val="007150B6"/>
    <w:rsid w:val="00725527"/>
    <w:rsid w:val="00751792"/>
    <w:rsid w:val="00756911"/>
    <w:rsid w:val="00771C8B"/>
    <w:rsid w:val="00793FDE"/>
    <w:rsid w:val="007C1AA4"/>
    <w:rsid w:val="007C4482"/>
    <w:rsid w:val="007E7108"/>
    <w:rsid w:val="0080312F"/>
    <w:rsid w:val="00822D02"/>
    <w:rsid w:val="00833FB7"/>
    <w:rsid w:val="00894084"/>
    <w:rsid w:val="008A4A96"/>
    <w:rsid w:val="008D79FD"/>
    <w:rsid w:val="009173F6"/>
    <w:rsid w:val="00963D43"/>
    <w:rsid w:val="00964E4F"/>
    <w:rsid w:val="00993AC4"/>
    <w:rsid w:val="009C17D2"/>
    <w:rsid w:val="009F4395"/>
    <w:rsid w:val="009F6E6F"/>
    <w:rsid w:val="00A17BDC"/>
    <w:rsid w:val="00A97C17"/>
    <w:rsid w:val="00AE6E18"/>
    <w:rsid w:val="00AF2D56"/>
    <w:rsid w:val="00AF4359"/>
    <w:rsid w:val="00B12B60"/>
    <w:rsid w:val="00B15464"/>
    <w:rsid w:val="00B55C8F"/>
    <w:rsid w:val="00B733E2"/>
    <w:rsid w:val="00B87D77"/>
    <w:rsid w:val="00B958A1"/>
    <w:rsid w:val="00B968C8"/>
    <w:rsid w:val="00BB23AC"/>
    <w:rsid w:val="00BC28E4"/>
    <w:rsid w:val="00BF2B67"/>
    <w:rsid w:val="00C059F5"/>
    <w:rsid w:val="00C06CFC"/>
    <w:rsid w:val="00C27104"/>
    <w:rsid w:val="00C357E6"/>
    <w:rsid w:val="00C51EDD"/>
    <w:rsid w:val="00CE73EA"/>
    <w:rsid w:val="00D132AD"/>
    <w:rsid w:val="00D24B91"/>
    <w:rsid w:val="00D371B3"/>
    <w:rsid w:val="00D37A30"/>
    <w:rsid w:val="00D546C2"/>
    <w:rsid w:val="00D75385"/>
    <w:rsid w:val="00D76737"/>
    <w:rsid w:val="00D82B9F"/>
    <w:rsid w:val="00D84246"/>
    <w:rsid w:val="00D86E75"/>
    <w:rsid w:val="00DC1F5A"/>
    <w:rsid w:val="00DE2EAD"/>
    <w:rsid w:val="00E02380"/>
    <w:rsid w:val="00E70751"/>
    <w:rsid w:val="00E87AD6"/>
    <w:rsid w:val="00ED3E97"/>
    <w:rsid w:val="00EF7490"/>
    <w:rsid w:val="00F23AB9"/>
    <w:rsid w:val="00F64A9E"/>
    <w:rsid w:val="00F82807"/>
    <w:rsid w:val="00FA5EC6"/>
    <w:rsid w:val="00FA748C"/>
    <w:rsid w:val="00FD295F"/>
    <w:rsid w:val="28A29778"/>
    <w:rsid w:val="7033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39E1"/>
  <w15:docId w15:val="{132D90D5-93C5-4E31-8CBE-C9700645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uiPriority w:val="99"/>
    <w:semiHidden/>
    <w:unhideWhenUsed/>
    <w:rsid w:val="00AF4359"/>
    <w:rPr>
      <w:sz w:val="16"/>
      <w:szCs w:val="16"/>
    </w:rPr>
  </w:style>
  <w:style w:type="paragraph" w:styleId="CommentText">
    <w:name w:val="annotation text"/>
    <w:basedOn w:val="Normal"/>
    <w:link w:val="CommentTextChar"/>
    <w:uiPriority w:val="99"/>
    <w:semiHidden/>
    <w:unhideWhenUsed/>
    <w:rsid w:val="00AF4359"/>
    <w:pPr>
      <w:spacing w:line="240" w:lineRule="auto"/>
    </w:pPr>
    <w:rPr>
      <w:sz w:val="20"/>
      <w:szCs w:val="20"/>
    </w:rPr>
  </w:style>
  <w:style w:type="character" w:customStyle="1" w:styleId="CommentTextChar">
    <w:name w:val="Comment Text Char"/>
    <w:basedOn w:val="DefaultParagraphFont"/>
    <w:link w:val="CommentText"/>
    <w:uiPriority w:val="99"/>
    <w:semiHidden/>
    <w:rsid w:val="00AF4359"/>
    <w:rPr>
      <w:sz w:val="20"/>
      <w:szCs w:val="20"/>
    </w:rPr>
  </w:style>
  <w:style w:type="paragraph" w:styleId="CommentSubject">
    <w:name w:val="annotation subject"/>
    <w:basedOn w:val="CommentText"/>
    <w:next w:val="CommentText"/>
    <w:link w:val="CommentSubjectChar"/>
    <w:uiPriority w:val="99"/>
    <w:semiHidden/>
    <w:unhideWhenUsed/>
    <w:rsid w:val="00AF4359"/>
    <w:rPr>
      <w:b/>
      <w:bCs/>
    </w:rPr>
  </w:style>
  <w:style w:type="character" w:customStyle="1" w:styleId="CommentSubjectChar">
    <w:name w:val="Comment Subject Char"/>
    <w:basedOn w:val="CommentTextChar"/>
    <w:link w:val="CommentSubject"/>
    <w:uiPriority w:val="99"/>
    <w:semiHidden/>
    <w:rsid w:val="00AF4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p.alberta.ca/1266.cfm?page=F25.cfm&amp;leg_type=Acts&amp;isbncln=9780779762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6506-6F30-4A78-B15E-3BCCA75B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2</cp:revision>
  <cp:lastPrinted>2016-12-19T18:48:00Z</cp:lastPrinted>
  <dcterms:created xsi:type="dcterms:W3CDTF">2021-04-13T21:58:00Z</dcterms:created>
  <dcterms:modified xsi:type="dcterms:W3CDTF">2021-04-13T21:58:00Z</dcterms:modified>
</cp:coreProperties>
</file>