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43C6" w14:textId="77777777" w:rsidR="007150B6" w:rsidRPr="000C6769" w:rsidRDefault="00D84246" w:rsidP="000C6769">
      <w:pPr>
        <w:pStyle w:val="Header"/>
      </w:pPr>
      <w:r>
        <w:rPr>
          <w:lang w:val="en-CA"/>
        </w:rPr>
        <w:t xml:space="preserve"> </w:t>
      </w:r>
      <w:r w:rsidR="000C6769">
        <w:rPr>
          <w:rFonts w:ascii="Arial" w:hAnsi="Arial" w:cs="Arial"/>
          <w:b/>
          <w:noProof/>
          <w:sz w:val="20"/>
          <w:szCs w:val="20"/>
        </w:rPr>
        <w:drawing>
          <wp:inline distT="0" distB="0" distL="0" distR="0" wp14:anchorId="3567DC98" wp14:editId="07777777">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1C5E4910" w14:textId="7744A62A" w:rsidR="00D75385" w:rsidRPr="00993AC4" w:rsidRDefault="5DE70FAA" w:rsidP="008A4A96">
      <w:pPr>
        <w:spacing w:before="240"/>
        <w:jc w:val="center"/>
        <w:rPr>
          <w:b/>
          <w:sz w:val="36"/>
          <w:szCs w:val="36"/>
          <w:lang w:val="en-CA"/>
        </w:rPr>
      </w:pPr>
      <w:r w:rsidRPr="5DE70FAA">
        <w:rPr>
          <w:b/>
          <w:bCs/>
          <w:sz w:val="36"/>
          <w:szCs w:val="36"/>
          <w:lang w:val="en-CA"/>
        </w:rPr>
        <w:t xml:space="preserve">Policy: Media </w:t>
      </w:r>
    </w:p>
    <w:p w14:paraId="5BD9FC05" w14:textId="77777777" w:rsidR="000C6769" w:rsidRPr="00D24B91" w:rsidRDefault="5DE70FAA" w:rsidP="00D24B91">
      <w:pPr>
        <w:pBdr>
          <w:bottom w:val="single" w:sz="4" w:space="1" w:color="auto"/>
        </w:pBdr>
        <w:rPr>
          <w:b/>
          <w:lang w:val="en-CA"/>
        </w:rPr>
      </w:pPr>
      <w:r w:rsidRPr="5DE70FAA">
        <w:rPr>
          <w:b/>
          <w:bCs/>
          <w:lang w:val="en-CA"/>
        </w:rPr>
        <w:t>PURPOSE:</w:t>
      </w:r>
    </w:p>
    <w:p w14:paraId="500A12F2" w14:textId="77777777" w:rsidR="00D75385" w:rsidRPr="00F9680C" w:rsidRDefault="5DE70FAA" w:rsidP="00F9680C">
      <w:pPr>
        <w:rPr>
          <w:lang w:val="en-CA"/>
        </w:rPr>
      </w:pPr>
      <w:r w:rsidRPr="5DE70FAA">
        <w:rPr>
          <w:lang w:val="en-CA"/>
        </w:rPr>
        <w:t xml:space="preserve">The purpose of this policy is to provide direction to NESA students, faculty, and staff in professionally navigating various forms of media communications. </w:t>
      </w:r>
    </w:p>
    <w:p w14:paraId="26C143D4" w14:textId="77777777" w:rsidR="000F65D8" w:rsidRPr="002F7A57" w:rsidRDefault="5DE70FAA" w:rsidP="000F65D8">
      <w:pPr>
        <w:pBdr>
          <w:bottom w:val="single" w:sz="4" w:space="1" w:color="auto"/>
        </w:pBdr>
        <w:rPr>
          <w:lang w:val="en-CA"/>
        </w:rPr>
      </w:pPr>
      <w:r w:rsidRPr="5DE70FAA">
        <w:rPr>
          <w:b/>
          <w:bCs/>
          <w:lang w:val="en-CA"/>
        </w:rPr>
        <w:t>DEFINITIONS:</w:t>
      </w:r>
    </w:p>
    <w:p w14:paraId="01D63546" w14:textId="77777777" w:rsidR="00383B8D" w:rsidRPr="006675E2" w:rsidRDefault="5DE70FAA" w:rsidP="006675E2">
      <w:pPr>
        <w:rPr>
          <w:lang w:val="en-CA"/>
        </w:rPr>
      </w:pPr>
      <w:r w:rsidRPr="5DE70FAA">
        <w:rPr>
          <w:b/>
          <w:bCs/>
          <w:i/>
          <w:iCs/>
          <w:lang w:val="en-CA"/>
        </w:rPr>
        <w:t>Media:</w:t>
      </w:r>
      <w:r w:rsidRPr="5DE70FAA">
        <w:rPr>
          <w:b/>
          <w:bCs/>
          <w:lang w:val="en-CA"/>
        </w:rPr>
        <w:t xml:space="preserve">  </w:t>
      </w:r>
      <w:r w:rsidRPr="5DE70FAA">
        <w:rPr>
          <w:lang w:val="en-CA"/>
        </w:rPr>
        <w:t>any form of publicly accessible communication or expression of ideas.</w:t>
      </w:r>
    </w:p>
    <w:p w14:paraId="142E3569" w14:textId="77777777" w:rsidR="0024214B" w:rsidRPr="006675E2" w:rsidRDefault="5DE70FAA" w:rsidP="006675E2">
      <w:pPr>
        <w:rPr>
          <w:lang w:val="en-CA"/>
        </w:rPr>
      </w:pPr>
      <w:r w:rsidRPr="5DE70FAA">
        <w:rPr>
          <w:b/>
          <w:bCs/>
          <w:i/>
          <w:iCs/>
          <w:lang w:val="en-CA"/>
        </w:rPr>
        <w:t>Social media</w:t>
      </w:r>
      <w:r w:rsidRPr="5DE70FAA">
        <w:rPr>
          <w:b/>
          <w:bCs/>
          <w:lang w:val="en-CA"/>
        </w:rPr>
        <w:t>:</w:t>
      </w:r>
      <w:r w:rsidRPr="5DE70FAA">
        <w:rPr>
          <w:lang w:val="en-CA"/>
        </w:rPr>
        <w:t xml:space="preserve">  an internet website or internal or external platform which allows for the creation and exchange of user-generated content. Social Media includes, but is not limited to social networking, blogging, microblogging, video hosting, wikis, and social bookmarking. </w:t>
      </w:r>
    </w:p>
    <w:p w14:paraId="4B2D31FF" w14:textId="77777777" w:rsidR="0024214B" w:rsidRPr="006675E2" w:rsidRDefault="5DE70FAA" w:rsidP="006675E2">
      <w:pPr>
        <w:rPr>
          <w:lang w:val="en-CA"/>
        </w:rPr>
      </w:pPr>
      <w:r w:rsidRPr="5DE70FAA">
        <w:rPr>
          <w:b/>
          <w:bCs/>
          <w:i/>
          <w:iCs/>
          <w:lang w:val="en-CA"/>
        </w:rPr>
        <w:t>News media</w:t>
      </w:r>
      <w:r w:rsidRPr="5DE70FAA">
        <w:rPr>
          <w:b/>
          <w:bCs/>
          <w:lang w:val="en-CA"/>
        </w:rPr>
        <w:t xml:space="preserve">: </w:t>
      </w:r>
      <w:r w:rsidRPr="5DE70FAA">
        <w:rPr>
          <w:lang w:val="en-CA"/>
        </w:rPr>
        <w:t xml:space="preserve">focuses on delivering news to the </w:t>
      </w:r>
      <w:proofErr w:type="gramStart"/>
      <w:r w:rsidRPr="5DE70FAA">
        <w:rPr>
          <w:lang w:val="en-CA"/>
        </w:rPr>
        <w:t>general public</w:t>
      </w:r>
      <w:proofErr w:type="gramEnd"/>
      <w:r w:rsidRPr="5DE70FAA">
        <w:rPr>
          <w:lang w:val="en-CA"/>
        </w:rPr>
        <w:t xml:space="preserve"> or target population and includes print media, broadcast news, and internet. </w:t>
      </w:r>
    </w:p>
    <w:p w14:paraId="45007461" w14:textId="77777777" w:rsidR="00685110" w:rsidRPr="006675E2" w:rsidRDefault="5DE70FAA" w:rsidP="006675E2">
      <w:pPr>
        <w:rPr>
          <w:lang w:val="en-CA"/>
        </w:rPr>
      </w:pPr>
      <w:r w:rsidRPr="5DE70FAA">
        <w:rPr>
          <w:b/>
          <w:bCs/>
          <w:i/>
          <w:iCs/>
          <w:lang w:val="en-CA"/>
        </w:rPr>
        <w:t>Personal information</w:t>
      </w:r>
      <w:r w:rsidRPr="5DE70FAA">
        <w:rPr>
          <w:b/>
          <w:bCs/>
          <w:lang w:val="en-CA"/>
        </w:rPr>
        <w:t xml:space="preserve">: </w:t>
      </w:r>
      <w:r w:rsidRPr="5DE70FAA">
        <w:rPr>
          <w:lang w:val="en-CA"/>
        </w:rPr>
        <w:t>refers to recorded information of any kind, excluding health information, stored in any format that identifies an individual (e.g. contact information, race, employment, criminal history, personal views, and opinions).</w:t>
      </w:r>
    </w:p>
    <w:p w14:paraId="6A78A5BE" w14:textId="77777777" w:rsidR="00685110" w:rsidRPr="006675E2" w:rsidRDefault="5DE70FAA" w:rsidP="006675E2">
      <w:pPr>
        <w:rPr>
          <w:lang w:val="en-CA"/>
        </w:rPr>
      </w:pPr>
      <w:r w:rsidRPr="5DE70FAA">
        <w:rPr>
          <w:b/>
          <w:bCs/>
          <w:i/>
          <w:iCs/>
          <w:lang w:val="en-CA"/>
        </w:rPr>
        <w:t>Health information</w:t>
      </w:r>
      <w:r w:rsidRPr="5DE70FAA">
        <w:rPr>
          <w:b/>
          <w:bCs/>
          <w:lang w:val="en-CA"/>
        </w:rPr>
        <w:t xml:space="preserve">: </w:t>
      </w:r>
      <w:r w:rsidRPr="5DE70FAA">
        <w:rPr>
          <w:lang w:val="en-CA"/>
        </w:rPr>
        <w:t xml:space="preserve">means information that identifies an individual that relates to diagnosis, treatment and care, and registration information and is stored in any format. </w:t>
      </w:r>
    </w:p>
    <w:p w14:paraId="3CA3FA81" w14:textId="272C5857" w:rsidR="00C31B16" w:rsidRDefault="00383B8D" w:rsidP="007E51D5">
      <w:pPr>
        <w:rPr>
          <w:b/>
          <w:lang w:val="en-CA"/>
        </w:rPr>
      </w:pPr>
      <w:r w:rsidRPr="00C31B16">
        <w:rPr>
          <w:b/>
          <w:lang w:val="en-CA"/>
        </w:rPr>
        <w:tab/>
      </w:r>
      <w:r w:rsidRPr="00C31B16">
        <w:rPr>
          <w:b/>
          <w:lang w:val="en-CA"/>
        </w:rPr>
        <w:tab/>
      </w:r>
    </w:p>
    <w:p w14:paraId="38DD4E82" w14:textId="77777777" w:rsidR="000F65D8" w:rsidRPr="004343AF" w:rsidRDefault="5DE70FAA" w:rsidP="00DE3E74">
      <w:pPr>
        <w:pStyle w:val="ListParagraph"/>
        <w:ind w:left="6480"/>
        <w:rPr>
          <w:lang w:val="en-CA"/>
        </w:rPr>
      </w:pPr>
      <w:r w:rsidRPr="5DE70FAA">
        <w:rPr>
          <w:lang w:val="en-CA"/>
        </w:rPr>
        <w:t xml:space="preserve">(Alberta Health Services, 2011). </w:t>
      </w:r>
    </w:p>
    <w:p w14:paraId="427B3A59" w14:textId="77777777" w:rsidR="000C6769" w:rsidRPr="00D24B91" w:rsidRDefault="5DE70FAA" w:rsidP="00D24B91">
      <w:pPr>
        <w:pBdr>
          <w:bottom w:val="single" w:sz="4" w:space="1" w:color="auto"/>
        </w:pBdr>
        <w:rPr>
          <w:b/>
          <w:lang w:val="en-CA"/>
        </w:rPr>
      </w:pPr>
      <w:r w:rsidRPr="5DE70FAA">
        <w:rPr>
          <w:b/>
          <w:bCs/>
          <w:lang w:val="en-CA"/>
        </w:rPr>
        <w:t>POLICY SCOPE:</w:t>
      </w:r>
    </w:p>
    <w:p w14:paraId="30E696F6" w14:textId="77777777" w:rsidR="007C1AA4" w:rsidRPr="004C0CE5" w:rsidRDefault="5DE70FAA" w:rsidP="00AD55F9">
      <w:pPr>
        <w:pStyle w:val="ListParagraph"/>
        <w:ind w:left="0"/>
        <w:rPr>
          <w:lang w:val="en-CA"/>
        </w:rPr>
      </w:pPr>
      <w:r w:rsidRPr="5DE70FAA">
        <w:rPr>
          <w:lang w:val="en-CA"/>
        </w:rPr>
        <w:t xml:space="preserve">This policy applies to all NESA BN Program students, faculty, and staff participating in any form of media communication.  </w:t>
      </w:r>
    </w:p>
    <w:p w14:paraId="55E142AB" w14:textId="77777777" w:rsidR="000C6769" w:rsidRPr="002F7A57" w:rsidRDefault="000C6769" w:rsidP="002F7A57">
      <w:pPr>
        <w:pStyle w:val="ListParagraph"/>
        <w:ind w:left="1134"/>
        <w:rPr>
          <w:lang w:val="en-CA"/>
        </w:rPr>
      </w:pPr>
      <w:r w:rsidRPr="002F7A57">
        <w:rPr>
          <w:lang w:val="en-CA"/>
        </w:rPr>
        <w:t xml:space="preserve"> </w:t>
      </w:r>
    </w:p>
    <w:p w14:paraId="4F7BE903" w14:textId="77777777" w:rsidR="006F5E3D" w:rsidRPr="00D24B91" w:rsidRDefault="5DE70FAA" w:rsidP="00D24B91">
      <w:pPr>
        <w:pBdr>
          <w:bottom w:val="single" w:sz="4" w:space="1" w:color="auto"/>
        </w:pBdr>
        <w:rPr>
          <w:b/>
          <w:lang w:val="en-CA"/>
        </w:rPr>
      </w:pPr>
      <w:r w:rsidRPr="5DE70FAA">
        <w:rPr>
          <w:b/>
          <w:bCs/>
          <w:lang w:val="en-CA"/>
        </w:rPr>
        <w:t>POLICY STATEMENT(S):</w:t>
      </w:r>
    </w:p>
    <w:p w14:paraId="1CF67743" w14:textId="77777777" w:rsidR="00003738" w:rsidRDefault="00003738" w:rsidP="007C1AA4">
      <w:pPr>
        <w:pStyle w:val="ListParagraph"/>
        <w:ind w:left="1134"/>
        <w:rPr>
          <w:i/>
          <w:lang w:val="en-CA"/>
        </w:rPr>
      </w:pPr>
    </w:p>
    <w:p w14:paraId="6B0D73E1" w14:textId="37E6C85D" w:rsidR="00FD4F36" w:rsidRPr="001F7E64" w:rsidRDefault="5DE70FAA" w:rsidP="00E83A6A">
      <w:pPr>
        <w:pStyle w:val="ListParagraph"/>
        <w:numPr>
          <w:ilvl w:val="0"/>
          <w:numId w:val="15"/>
        </w:numPr>
        <w:rPr>
          <w:lang w:val="en-CA"/>
        </w:rPr>
      </w:pPr>
      <w:r w:rsidRPr="5DE70FAA">
        <w:rPr>
          <w:lang w:val="en-CA"/>
        </w:rPr>
        <w:t xml:space="preserve">The nursing profession provides numerous opportunities for nurses (as well as student nurses, and nurse educators) to access both personal and health information. All those who have access to such </w:t>
      </w:r>
      <w:r w:rsidRPr="5DE70FAA">
        <w:rPr>
          <w:lang w:val="en-CA"/>
        </w:rPr>
        <w:lastRenderedPageBreak/>
        <w:t xml:space="preserve">information have the professional and legal responsibility to protect the privacy and confidentiality of </w:t>
      </w:r>
      <w:r w:rsidRPr="001F7E64">
        <w:rPr>
          <w:lang w:val="en-CA"/>
        </w:rPr>
        <w:t xml:space="preserve">information (CNA, </w:t>
      </w:r>
      <w:r w:rsidR="00E33151" w:rsidRPr="001F7E64">
        <w:rPr>
          <w:lang w:val="en-CA"/>
        </w:rPr>
        <w:t>2017</w:t>
      </w:r>
      <w:r w:rsidRPr="001F7E64">
        <w:rPr>
          <w:lang w:val="en-CA"/>
        </w:rPr>
        <w:t xml:space="preserve">).  </w:t>
      </w:r>
    </w:p>
    <w:p w14:paraId="4BF5BC01" w14:textId="77777777" w:rsidR="00E83A6A" w:rsidRPr="00E83A6A" w:rsidRDefault="00E83A6A" w:rsidP="00E83A6A">
      <w:pPr>
        <w:pStyle w:val="ListParagraph"/>
        <w:ind w:left="360"/>
        <w:rPr>
          <w:lang w:val="en-CA"/>
        </w:rPr>
      </w:pPr>
    </w:p>
    <w:p w14:paraId="0939BCA3" w14:textId="455CE2A4" w:rsidR="004C0CE5" w:rsidRDefault="5DE70FAA" w:rsidP="003A63DD">
      <w:pPr>
        <w:pStyle w:val="ListParagraph"/>
        <w:numPr>
          <w:ilvl w:val="0"/>
          <w:numId w:val="15"/>
        </w:numPr>
        <w:spacing w:after="0" w:line="240" w:lineRule="auto"/>
        <w:rPr>
          <w:lang w:val="en-CA"/>
        </w:rPr>
      </w:pPr>
      <w:r w:rsidRPr="5DE70FAA">
        <w:rPr>
          <w:lang w:val="en-CA"/>
        </w:rPr>
        <w:t xml:space="preserve">When participating in media activities, all individuals need to be sensitive to the potential of breaching privacy and confidentiality by disclosing personal or health information.  This may be intentional or unintentional.  It is important to be aware of this potential and take necessary action to prevent such breaches. </w:t>
      </w:r>
    </w:p>
    <w:p w14:paraId="76A01702" w14:textId="77777777" w:rsidR="00AB5EE8" w:rsidRPr="00AB5EE8" w:rsidRDefault="00AB5EE8" w:rsidP="00AB5EE8">
      <w:pPr>
        <w:pStyle w:val="ListParagraph"/>
        <w:ind w:left="1080"/>
        <w:rPr>
          <w:lang w:val="en-CA"/>
        </w:rPr>
      </w:pPr>
    </w:p>
    <w:p w14:paraId="4E0D22E1" w14:textId="176F8300" w:rsidR="00AB5EE8" w:rsidRDefault="5DE70FAA" w:rsidP="00AB5EE8">
      <w:pPr>
        <w:pStyle w:val="ListParagraph"/>
        <w:numPr>
          <w:ilvl w:val="0"/>
          <w:numId w:val="15"/>
        </w:numPr>
        <w:rPr>
          <w:lang w:val="en-CA"/>
        </w:rPr>
      </w:pPr>
      <w:r w:rsidRPr="5DE70FAA">
        <w:rPr>
          <w:lang w:val="en-CA"/>
        </w:rPr>
        <w:t>Expectations to maintain privacy and confidentiality exist beyond the nurse/patient, student/faculty relationship. For example, students, staff</w:t>
      </w:r>
      <w:r w:rsidR="007E51D5">
        <w:rPr>
          <w:lang w:val="en-CA"/>
        </w:rPr>
        <w:t>,</w:t>
      </w:r>
      <w:r w:rsidRPr="5DE70FAA">
        <w:rPr>
          <w:lang w:val="en-CA"/>
        </w:rPr>
        <w:t xml:space="preserve"> and faculty members may be privy to sensitive information about the educational institution, other individuals in the program, or other program stakeholders </w:t>
      </w:r>
      <w:proofErr w:type="gramStart"/>
      <w:r w:rsidRPr="5DE70FAA">
        <w:rPr>
          <w:lang w:val="en-CA"/>
        </w:rPr>
        <w:t>as a result of</w:t>
      </w:r>
      <w:proofErr w:type="gramEnd"/>
      <w:r w:rsidRPr="5DE70FAA">
        <w:rPr>
          <w:lang w:val="en-CA"/>
        </w:rPr>
        <w:t xml:space="preserve"> participating in private meetings or discussions. </w:t>
      </w:r>
    </w:p>
    <w:p w14:paraId="04945986" w14:textId="77777777" w:rsidR="00AB5EE8" w:rsidRPr="00AB5EE8" w:rsidRDefault="00AB5EE8" w:rsidP="00AB5EE8">
      <w:pPr>
        <w:pStyle w:val="ListParagraph"/>
        <w:rPr>
          <w:lang w:val="en-CA"/>
        </w:rPr>
      </w:pPr>
    </w:p>
    <w:p w14:paraId="3DA6A43E" w14:textId="71597B19" w:rsidR="00AB5EE8" w:rsidRDefault="5DE70FAA" w:rsidP="00AB5EE8">
      <w:pPr>
        <w:pStyle w:val="ListParagraph"/>
        <w:numPr>
          <w:ilvl w:val="0"/>
          <w:numId w:val="15"/>
        </w:numPr>
        <w:rPr>
          <w:lang w:val="en-CA"/>
        </w:rPr>
      </w:pPr>
      <w:r w:rsidRPr="5DE70FAA">
        <w:rPr>
          <w:lang w:val="en-CA"/>
        </w:rPr>
        <w:t xml:space="preserve">It is not the intention of this policy to discourage or diminish media engagement, but rather to protect personal and health information by establishing and promoting awareness of the shared accountability for protecting confidentiality and privacy during engagement in media communication.   </w:t>
      </w:r>
    </w:p>
    <w:p w14:paraId="3CEA2300" w14:textId="77777777" w:rsidR="005D63D9" w:rsidRPr="005D63D9" w:rsidRDefault="005D63D9" w:rsidP="005D63D9">
      <w:pPr>
        <w:pStyle w:val="ListParagraph"/>
        <w:rPr>
          <w:lang w:val="en-CA"/>
        </w:rPr>
      </w:pPr>
    </w:p>
    <w:p w14:paraId="5DE35D9B" w14:textId="77777777" w:rsidR="005D63D9" w:rsidRDefault="005D63D9" w:rsidP="005D63D9">
      <w:pPr>
        <w:pStyle w:val="ListParagraph"/>
        <w:numPr>
          <w:ilvl w:val="0"/>
          <w:numId w:val="15"/>
        </w:numPr>
        <w:spacing w:after="0"/>
        <w:rPr>
          <w:lang w:val="en-CA"/>
        </w:rPr>
      </w:pPr>
      <w:r w:rsidRPr="5DE70FAA">
        <w:rPr>
          <w:lang w:val="en-CA"/>
        </w:rPr>
        <w:t xml:space="preserve">Participating in social media in a manner that protects personal and health information has many unique elements to consider, including the reputational risk potentially incurred for the program, and for students and faculty in the profession. Refer to the NESA Social Media Guideline for further guidance. </w:t>
      </w:r>
    </w:p>
    <w:p w14:paraId="397C7D47" w14:textId="4D070B15" w:rsidR="000F4404" w:rsidRPr="004343AF" w:rsidRDefault="000F4404" w:rsidP="004343AF">
      <w:pPr>
        <w:rPr>
          <w:i/>
          <w:lang w:val="en-CA"/>
        </w:rPr>
      </w:pPr>
    </w:p>
    <w:p w14:paraId="2B83E214" w14:textId="77777777" w:rsidR="00197781" w:rsidRPr="0036628C" w:rsidRDefault="5DE70FAA" w:rsidP="0036628C">
      <w:pPr>
        <w:pBdr>
          <w:bottom w:val="single" w:sz="4" w:space="1" w:color="auto"/>
        </w:pBdr>
        <w:rPr>
          <w:b/>
          <w:lang w:val="en-CA"/>
        </w:rPr>
      </w:pPr>
      <w:r w:rsidRPr="5DE70FAA">
        <w:rPr>
          <w:b/>
          <w:bCs/>
          <w:lang w:val="en-CA"/>
        </w:rPr>
        <w:t xml:space="preserve">SPECIFICS OF THE POLICY: </w:t>
      </w:r>
    </w:p>
    <w:p w14:paraId="086C9641" w14:textId="1D7CBCB0" w:rsidR="00E83A6A" w:rsidRDefault="5DE70FAA" w:rsidP="00C31B16">
      <w:pPr>
        <w:pStyle w:val="ListParagraph"/>
        <w:numPr>
          <w:ilvl w:val="0"/>
          <w:numId w:val="16"/>
        </w:numPr>
        <w:ind w:left="360"/>
        <w:rPr>
          <w:lang w:val="en-CA"/>
        </w:rPr>
      </w:pPr>
      <w:r w:rsidRPr="5DE70FAA">
        <w:rPr>
          <w:lang w:val="en-CA"/>
        </w:rPr>
        <w:t xml:space="preserve">When participating in news media opportunities, particularly where information about the program or the university may be discussed, </w:t>
      </w:r>
      <w:r w:rsidR="002C31C7">
        <w:rPr>
          <w:lang w:val="en-CA"/>
        </w:rPr>
        <w:t>shall</w:t>
      </w:r>
      <w:r w:rsidRPr="5DE70FAA">
        <w:rPr>
          <w:lang w:val="en-CA"/>
        </w:rPr>
        <w:t xml:space="preserve"> contact the appropriate Lethbridge College/University of Lethbridge </w:t>
      </w:r>
      <w:r w:rsidR="007D0300" w:rsidRPr="008E4578">
        <w:rPr>
          <w:lang w:val="en-CA"/>
        </w:rPr>
        <w:t xml:space="preserve">Dean </w:t>
      </w:r>
      <w:r w:rsidRPr="5DE70FAA">
        <w:rPr>
          <w:lang w:val="en-CA"/>
        </w:rPr>
        <w:t xml:space="preserve">for guidance in appropriately navigating such opportunities.  </w:t>
      </w:r>
    </w:p>
    <w:p w14:paraId="555F6867" w14:textId="77777777" w:rsidR="00C31B16" w:rsidRPr="00C31B16" w:rsidRDefault="00C31B16" w:rsidP="00C31B16">
      <w:pPr>
        <w:pStyle w:val="ListParagraph"/>
        <w:ind w:left="360"/>
        <w:rPr>
          <w:lang w:val="en-CA"/>
        </w:rPr>
      </w:pPr>
    </w:p>
    <w:p w14:paraId="322DB35B" w14:textId="77777777" w:rsidR="00EB2F7E" w:rsidRDefault="5DE70FAA" w:rsidP="00EB2F7E">
      <w:pPr>
        <w:pStyle w:val="ListParagraph"/>
        <w:numPr>
          <w:ilvl w:val="0"/>
          <w:numId w:val="16"/>
        </w:numPr>
        <w:ind w:left="360"/>
        <w:rPr>
          <w:lang w:val="en-CA"/>
        </w:rPr>
      </w:pPr>
      <w:r w:rsidRPr="5DE70FAA">
        <w:rPr>
          <w:lang w:val="en-CA"/>
        </w:rPr>
        <w:t xml:space="preserve">For the security, privacy and confidentiality of personal and health information, all safeguards, standards and policies of the practice partners and agencies shall be adhered to. Such information shall be made available to students, and faculty. Dissemination of this information may vary between institutions. </w:t>
      </w:r>
    </w:p>
    <w:p w14:paraId="7B4967C8" w14:textId="77777777" w:rsidR="0036628C" w:rsidRDefault="0036628C" w:rsidP="00EB2F7E">
      <w:pPr>
        <w:pStyle w:val="ListParagraph"/>
        <w:ind w:left="360"/>
        <w:rPr>
          <w:lang w:val="en-CA"/>
        </w:rPr>
      </w:pPr>
    </w:p>
    <w:p w14:paraId="6FB669BD" w14:textId="77777777" w:rsidR="008E4578" w:rsidRDefault="5DE70FAA" w:rsidP="00EB2F7E">
      <w:pPr>
        <w:pStyle w:val="ListParagraph"/>
        <w:numPr>
          <w:ilvl w:val="0"/>
          <w:numId w:val="16"/>
        </w:numPr>
        <w:ind w:left="360"/>
        <w:rPr>
          <w:lang w:val="en-CA"/>
        </w:rPr>
      </w:pPr>
      <w:r w:rsidRPr="5DE70FAA">
        <w:rPr>
          <w:lang w:val="en-CA"/>
        </w:rPr>
        <w:t>NESA BN Programs students, faculty and staff members who are concerned or have questions about appropriate participation in media opportunities, or have become aware of activities that may place personal or health information at risk, must seek guidance from program leadership at the relevant institution.</w:t>
      </w:r>
    </w:p>
    <w:p w14:paraId="4DFB21E6" w14:textId="77777777" w:rsidR="008E4578" w:rsidRPr="008E4578" w:rsidRDefault="008E4578" w:rsidP="008E4578">
      <w:pPr>
        <w:pStyle w:val="ListParagraph"/>
        <w:rPr>
          <w:lang w:val="en-CA"/>
        </w:rPr>
      </w:pPr>
    </w:p>
    <w:p w14:paraId="7997E390" w14:textId="04ECEDD5" w:rsidR="005D63D9" w:rsidRPr="00C31B16" w:rsidRDefault="5DE70FAA" w:rsidP="00C31B16">
      <w:pPr>
        <w:pStyle w:val="ListParagraph"/>
        <w:numPr>
          <w:ilvl w:val="0"/>
          <w:numId w:val="16"/>
        </w:numPr>
        <w:ind w:left="360"/>
        <w:rPr>
          <w:lang w:val="en-CA"/>
        </w:rPr>
      </w:pPr>
      <w:r w:rsidRPr="5DE70FAA">
        <w:rPr>
          <w:lang w:val="en-CA"/>
        </w:rPr>
        <w:t xml:space="preserve"> </w:t>
      </w:r>
      <w:r w:rsidR="008E4578" w:rsidRPr="002C31C7">
        <w:t xml:space="preserve">Students who are, as part of their clinical placement, contacting or taking part in media events, </w:t>
      </w:r>
      <w:r w:rsidR="002C31C7">
        <w:t>shall</w:t>
      </w:r>
      <w:r w:rsidR="008E4578" w:rsidRPr="002C31C7">
        <w:t xml:space="preserve"> consult with their instructor and receive approval before either contacting media or participating in a media event</w:t>
      </w:r>
      <w:r w:rsidR="00C31B16">
        <w:t>.</w:t>
      </w:r>
    </w:p>
    <w:p w14:paraId="16FA01BF" w14:textId="77777777" w:rsidR="005D63D9" w:rsidRDefault="005D63D9" w:rsidP="00E83A6A">
      <w:pPr>
        <w:pBdr>
          <w:bottom w:val="single" w:sz="4" w:space="1" w:color="auto"/>
        </w:pBdr>
        <w:rPr>
          <w:b/>
          <w:bCs/>
          <w:lang w:val="en-CA"/>
        </w:rPr>
      </w:pPr>
    </w:p>
    <w:p w14:paraId="73A6E2D4" w14:textId="29C98207" w:rsidR="006675E2" w:rsidRPr="00E83A6A" w:rsidRDefault="5DE70FAA" w:rsidP="00E83A6A">
      <w:pPr>
        <w:pBdr>
          <w:bottom w:val="single" w:sz="4" w:space="1" w:color="auto"/>
        </w:pBdr>
        <w:rPr>
          <w:b/>
          <w:lang w:val="en-CA"/>
        </w:rPr>
      </w:pPr>
      <w:r w:rsidRPr="5DE70FAA">
        <w:rPr>
          <w:b/>
          <w:bCs/>
          <w:lang w:val="en-CA"/>
        </w:rPr>
        <w:t>APPENDIX:</w:t>
      </w:r>
    </w:p>
    <w:p w14:paraId="1650968B" w14:textId="77777777" w:rsidR="005F031C" w:rsidRPr="002F7A57" w:rsidRDefault="5DE70FAA" w:rsidP="0060008A">
      <w:pPr>
        <w:pBdr>
          <w:bottom w:val="single" w:sz="4" w:space="1" w:color="auto"/>
        </w:pBdr>
        <w:rPr>
          <w:lang w:val="en-CA"/>
        </w:rPr>
      </w:pPr>
      <w:r w:rsidRPr="5DE70FAA">
        <w:rPr>
          <w:b/>
          <w:bCs/>
          <w:lang w:val="en-CA"/>
        </w:rPr>
        <w:t xml:space="preserve">RELATED POLICIES/ASSOCIATED GUIDELINES: </w:t>
      </w:r>
    </w:p>
    <w:p w14:paraId="00616E73" w14:textId="77777777" w:rsidR="005420F6" w:rsidRPr="00D863C7" w:rsidRDefault="5DE70FAA" w:rsidP="5DE70FAA">
      <w:pPr>
        <w:pStyle w:val="ListParagraph"/>
        <w:numPr>
          <w:ilvl w:val="0"/>
          <w:numId w:val="18"/>
        </w:numPr>
        <w:spacing w:after="0"/>
        <w:rPr>
          <w:i/>
          <w:iCs/>
          <w:lang w:val="en-CA"/>
        </w:rPr>
      </w:pPr>
      <w:r w:rsidRPr="5DE70FAA">
        <w:rPr>
          <w:i/>
          <w:iCs/>
          <w:lang w:val="en-CA"/>
        </w:rPr>
        <w:t>NESA Participating in Social Media Guideline</w:t>
      </w:r>
    </w:p>
    <w:p w14:paraId="38C85F9B" w14:textId="77777777" w:rsidR="00003738" w:rsidRPr="00D863C7" w:rsidRDefault="5DE70FAA" w:rsidP="5DE70FAA">
      <w:pPr>
        <w:pStyle w:val="ListParagraph"/>
        <w:numPr>
          <w:ilvl w:val="0"/>
          <w:numId w:val="18"/>
        </w:numPr>
        <w:spacing w:after="0"/>
        <w:rPr>
          <w:i/>
          <w:iCs/>
          <w:lang w:val="en-CA"/>
        </w:rPr>
      </w:pPr>
      <w:r w:rsidRPr="5DE70FAA">
        <w:rPr>
          <w:i/>
          <w:iCs/>
          <w:lang w:val="en-CA"/>
        </w:rPr>
        <w:t xml:space="preserve">Alberta Health Services Social Media Policy </w:t>
      </w:r>
    </w:p>
    <w:p w14:paraId="703402C3" w14:textId="256B8F87" w:rsidR="00811360" w:rsidRPr="001F7E64" w:rsidRDefault="007E51D5" w:rsidP="00D863C7">
      <w:pPr>
        <w:spacing w:after="0"/>
        <w:ind w:left="1134" w:firstLine="720"/>
        <w:rPr>
          <w:i/>
          <w:lang w:val="en-CA"/>
        </w:rPr>
      </w:pPr>
      <w:hyperlink r:id="rId8" w:history="1">
        <w:r w:rsidR="00811360" w:rsidRPr="001F7E64">
          <w:rPr>
            <w:rStyle w:val="Hyperlink"/>
          </w:rPr>
          <w:t>https://extranet.ahsnet.ca/teams/policydocuments/1/clp-ahs-pol-social-media.pdf</w:t>
        </w:r>
      </w:hyperlink>
      <w:r w:rsidR="004343AF" w:rsidRPr="001F7E64">
        <w:rPr>
          <w:i/>
          <w:lang w:val="en-CA"/>
        </w:rPr>
        <w:t xml:space="preserve"> </w:t>
      </w:r>
    </w:p>
    <w:p w14:paraId="17825A37" w14:textId="412B0109" w:rsidR="009420EA" w:rsidRPr="00D863C7" w:rsidRDefault="5DE70FAA" w:rsidP="00D863C7">
      <w:pPr>
        <w:pStyle w:val="ListParagraph"/>
        <w:numPr>
          <w:ilvl w:val="0"/>
          <w:numId w:val="19"/>
        </w:numPr>
        <w:spacing w:after="0"/>
        <w:rPr>
          <w:color w:val="000000" w:themeColor="text1"/>
          <w:lang w:val="en-CA"/>
        </w:rPr>
      </w:pPr>
      <w:r w:rsidRPr="001F7E64">
        <w:rPr>
          <w:i/>
          <w:iCs/>
          <w:lang w:val="en-CA"/>
        </w:rPr>
        <w:t>FOIP Act</w:t>
      </w:r>
      <w:r w:rsidRPr="5DE70FAA">
        <w:rPr>
          <w:i/>
          <w:iCs/>
          <w:lang w:val="en-CA"/>
        </w:rPr>
        <w:t xml:space="preserve"> </w:t>
      </w:r>
      <w:hyperlink r:id="rId9">
        <w:r w:rsidRPr="5DE70FAA">
          <w:rPr>
            <w:rStyle w:val="Hyperlink"/>
            <w:i/>
            <w:iCs/>
            <w:lang w:val="en-CA"/>
          </w:rPr>
          <w:t>http://www.qp.alberta.ca/1266.cfm?page=F25.cfm&amp;leg_type=Acts&amp;isbncln=97   80779762071</w:t>
        </w:r>
      </w:hyperlink>
      <w:r w:rsidRPr="5DE70FAA">
        <w:rPr>
          <w:i/>
          <w:iCs/>
          <w:lang w:val="en-CA"/>
        </w:rPr>
        <w:t xml:space="preserve"> </w:t>
      </w:r>
    </w:p>
    <w:p w14:paraId="0A7FDC55" w14:textId="77777777" w:rsidR="00AC1131" w:rsidRPr="00D863C7" w:rsidRDefault="5DE70FAA" w:rsidP="5DE70FAA">
      <w:pPr>
        <w:pStyle w:val="ListParagraph"/>
        <w:numPr>
          <w:ilvl w:val="0"/>
          <w:numId w:val="19"/>
        </w:numPr>
        <w:spacing w:after="0"/>
        <w:rPr>
          <w:i/>
          <w:iCs/>
          <w:lang w:val="en-CA"/>
        </w:rPr>
      </w:pPr>
      <w:r w:rsidRPr="5DE70FAA">
        <w:rPr>
          <w:i/>
          <w:iCs/>
          <w:lang w:val="en-CA"/>
        </w:rPr>
        <w:t>Lethbridge College’s Use Social Media Code of Conduct</w:t>
      </w:r>
    </w:p>
    <w:p w14:paraId="1DBB2ECF" w14:textId="040D9FE6" w:rsidR="00811360" w:rsidRPr="007E51D5" w:rsidRDefault="007E51D5" w:rsidP="00811360">
      <w:pPr>
        <w:pStyle w:val="ListParagraph"/>
        <w:numPr>
          <w:ilvl w:val="0"/>
          <w:numId w:val="20"/>
        </w:numPr>
        <w:spacing w:after="0"/>
        <w:rPr>
          <w:i/>
          <w:iCs/>
          <w:lang w:val="en-CA"/>
        </w:rPr>
      </w:pPr>
      <w:hyperlink r:id="rId10" w:history="1">
        <w:r w:rsidR="00811360" w:rsidRPr="007E51D5">
          <w:rPr>
            <w:rStyle w:val="Hyperlink"/>
          </w:rPr>
          <w:t>https://lethbridgecollege.ca/sites/default/files/2017-08/policies-procedures-community-corporate-relations-social-media-app-b.pdf</w:t>
        </w:r>
      </w:hyperlink>
    </w:p>
    <w:p w14:paraId="26AE1D4E" w14:textId="38AC024C" w:rsidR="00303A96" w:rsidRPr="007E51D5" w:rsidRDefault="5DE70FAA" w:rsidP="00811360">
      <w:pPr>
        <w:pStyle w:val="ListParagraph"/>
        <w:numPr>
          <w:ilvl w:val="0"/>
          <w:numId w:val="20"/>
        </w:numPr>
        <w:spacing w:after="0"/>
        <w:rPr>
          <w:i/>
          <w:iCs/>
          <w:lang w:val="en-CA"/>
        </w:rPr>
      </w:pPr>
      <w:r w:rsidRPr="007E51D5">
        <w:rPr>
          <w:i/>
          <w:iCs/>
          <w:lang w:val="en-CA"/>
        </w:rPr>
        <w:t xml:space="preserve">Lethbridge College’s </w:t>
      </w:r>
      <w:r w:rsidR="00BD0C6F" w:rsidRPr="007E51D5">
        <w:rPr>
          <w:i/>
          <w:iCs/>
          <w:lang w:val="en-CA"/>
        </w:rPr>
        <w:t>Social Media Policy</w:t>
      </w:r>
      <w:r w:rsidRPr="007E51D5">
        <w:rPr>
          <w:i/>
          <w:iCs/>
          <w:lang w:val="en-CA"/>
        </w:rPr>
        <w:t xml:space="preserve"> </w:t>
      </w:r>
    </w:p>
    <w:p w14:paraId="1E18DDB3" w14:textId="38126599" w:rsidR="00BD0C6F" w:rsidRPr="007E51D5" w:rsidRDefault="007E51D5" w:rsidP="00C13DB5">
      <w:pPr>
        <w:pStyle w:val="ListParagraph"/>
        <w:numPr>
          <w:ilvl w:val="0"/>
          <w:numId w:val="20"/>
        </w:numPr>
        <w:spacing w:after="0"/>
        <w:rPr>
          <w:i/>
          <w:iCs/>
          <w:color w:val="0070C0"/>
          <w:lang w:val="en-CA"/>
        </w:rPr>
      </w:pPr>
      <w:hyperlink r:id="rId11" w:history="1">
        <w:r w:rsidR="00BD0C6F" w:rsidRPr="007E51D5">
          <w:rPr>
            <w:rStyle w:val="Hyperlink"/>
            <w:i/>
            <w:iCs/>
            <w:lang w:val="en-CA"/>
          </w:rPr>
          <w:t>https://lethbridgecollege.ca/document-centre/policies-and-procedures/college-wide-policies-and-procedures/social-media-policy</w:t>
        </w:r>
      </w:hyperlink>
      <w:r w:rsidR="00BD0C6F" w:rsidRPr="007E51D5">
        <w:rPr>
          <w:i/>
          <w:iCs/>
          <w:color w:val="0070C0"/>
          <w:lang w:val="en-CA"/>
        </w:rPr>
        <w:t xml:space="preserve"> </w:t>
      </w:r>
    </w:p>
    <w:p w14:paraId="1513EE28" w14:textId="15E9FA3C" w:rsidR="00003738" w:rsidRPr="007E51D5" w:rsidRDefault="5DE70FAA" w:rsidP="00C13DB5">
      <w:pPr>
        <w:pStyle w:val="ListParagraph"/>
        <w:numPr>
          <w:ilvl w:val="0"/>
          <w:numId w:val="20"/>
        </w:numPr>
        <w:spacing w:after="0"/>
        <w:rPr>
          <w:i/>
          <w:iCs/>
          <w:color w:val="C00000"/>
          <w:lang w:val="en-CA"/>
        </w:rPr>
      </w:pPr>
      <w:r w:rsidRPr="007E51D5">
        <w:rPr>
          <w:i/>
          <w:iCs/>
          <w:lang w:val="en-CA"/>
        </w:rPr>
        <w:t>University of Lethbridge Social Media Guideline</w:t>
      </w:r>
      <w:r w:rsidR="00BD0C6F" w:rsidRPr="007E51D5">
        <w:rPr>
          <w:i/>
          <w:iCs/>
          <w:lang w:val="en-CA"/>
        </w:rPr>
        <w:t>s</w:t>
      </w:r>
      <w:r w:rsidRPr="007E51D5">
        <w:rPr>
          <w:i/>
          <w:iCs/>
          <w:lang w:val="en-CA"/>
        </w:rPr>
        <w:t xml:space="preserve"> </w:t>
      </w:r>
    </w:p>
    <w:p w14:paraId="66B02936" w14:textId="3E934C22" w:rsidR="00BD0C6F" w:rsidRPr="007E51D5" w:rsidRDefault="007E51D5" w:rsidP="00C13DB5">
      <w:pPr>
        <w:pStyle w:val="ListParagraph"/>
        <w:numPr>
          <w:ilvl w:val="0"/>
          <w:numId w:val="20"/>
        </w:numPr>
        <w:spacing w:after="0"/>
        <w:rPr>
          <w:i/>
          <w:iCs/>
          <w:color w:val="C00000"/>
          <w:lang w:val="en-CA"/>
        </w:rPr>
      </w:pPr>
      <w:hyperlink r:id="rId12" w:history="1">
        <w:r w:rsidR="00BD0C6F" w:rsidRPr="007E51D5">
          <w:rPr>
            <w:rStyle w:val="Hyperlink"/>
          </w:rPr>
          <w:t>https://uleth.sharepoint.com/:b:/s/Policy/ESp1HvNhNMdGtWJdONpIbl0BRGXWJ6sjrNou8BZrYRA5Aw</w:t>
        </w:r>
      </w:hyperlink>
    </w:p>
    <w:p w14:paraId="5359A428" w14:textId="77777777" w:rsidR="00F82807" w:rsidRPr="001F7E64" w:rsidRDefault="00F82807" w:rsidP="005420F6">
      <w:pPr>
        <w:spacing w:after="0"/>
        <w:rPr>
          <w:color w:val="C00000"/>
          <w:lang w:val="en-CA"/>
        </w:rPr>
      </w:pPr>
    </w:p>
    <w:p w14:paraId="0158613A" w14:textId="77777777" w:rsidR="00C059F5" w:rsidRPr="001F7E64" w:rsidRDefault="5DE70FAA" w:rsidP="00C059F5">
      <w:pPr>
        <w:pBdr>
          <w:bottom w:val="single" w:sz="4" w:space="1" w:color="auto"/>
        </w:pBdr>
        <w:rPr>
          <w:lang w:val="en-CA"/>
        </w:rPr>
      </w:pPr>
      <w:r w:rsidRPr="001F7E64">
        <w:rPr>
          <w:b/>
          <w:bCs/>
          <w:lang w:val="en-CA"/>
        </w:rPr>
        <w:t>REFERENCES:</w:t>
      </w:r>
      <w:r w:rsidRPr="001F7E64">
        <w:rPr>
          <w:lang w:val="en-CA"/>
        </w:rPr>
        <w:t xml:space="preserve">  </w:t>
      </w:r>
    </w:p>
    <w:p w14:paraId="246F4918" w14:textId="67B550D8" w:rsidR="004343AF" w:rsidRPr="001F7E64" w:rsidRDefault="5DE70FAA" w:rsidP="004343AF">
      <w:pPr>
        <w:pBdr>
          <w:bottom w:val="single" w:sz="4" w:space="1" w:color="auto"/>
        </w:pBdr>
      </w:pPr>
      <w:r w:rsidRPr="001F7E64">
        <w:t>Canadian Nurses Association. (20</w:t>
      </w:r>
      <w:r w:rsidR="00E33151" w:rsidRPr="001F7E64">
        <w:t>17</w:t>
      </w:r>
      <w:r w:rsidRPr="001F7E64">
        <w:t xml:space="preserve">). </w:t>
      </w:r>
      <w:r w:rsidRPr="001F7E64">
        <w:rPr>
          <w:i/>
          <w:iCs/>
        </w:rPr>
        <w:t xml:space="preserve">Code of ethics for registered nurses. </w:t>
      </w:r>
      <w:r w:rsidRPr="001F7E64">
        <w:t>Retrieved from</w:t>
      </w:r>
    </w:p>
    <w:p w14:paraId="29753D12" w14:textId="2A94F8CE" w:rsidR="00E33151" w:rsidRPr="00371338" w:rsidRDefault="007E51D5" w:rsidP="00C059F5">
      <w:pPr>
        <w:pBdr>
          <w:bottom w:val="single" w:sz="4" w:space="1" w:color="auto"/>
        </w:pBdr>
        <w:rPr>
          <w:color w:val="0070C0"/>
        </w:rPr>
      </w:pPr>
      <w:hyperlink r:id="rId13" w:history="1">
        <w:r w:rsidR="00E33151" w:rsidRPr="00371338">
          <w:rPr>
            <w:rStyle w:val="Hyperlink"/>
            <w:color w:val="0070C0"/>
          </w:rPr>
          <w:t>https://www.cna-aiic.ca/html/en/Code-of-Ethics-2017-Edition/files/assets/basic-html/page-1.html</w:t>
        </w:r>
      </w:hyperlink>
    </w:p>
    <w:p w14:paraId="2AB3326D" w14:textId="11B4A2CD" w:rsidR="004343AF" w:rsidRPr="001F7E64" w:rsidRDefault="5DE70FAA" w:rsidP="00C059F5">
      <w:pPr>
        <w:pBdr>
          <w:bottom w:val="single" w:sz="4" w:space="1" w:color="auto"/>
        </w:pBdr>
        <w:rPr>
          <w:lang w:val="en-CA"/>
        </w:rPr>
      </w:pPr>
      <w:r w:rsidRPr="001F7E64">
        <w:rPr>
          <w:lang w:val="en-CA"/>
        </w:rPr>
        <w:t xml:space="preserve"> Alberta Health Services. (2011). </w:t>
      </w:r>
      <w:r w:rsidRPr="001F7E64">
        <w:rPr>
          <w:i/>
          <w:iCs/>
          <w:lang w:val="en-CA"/>
        </w:rPr>
        <w:t xml:space="preserve">Social Media Policy. </w:t>
      </w:r>
      <w:r w:rsidRPr="001F7E64">
        <w:rPr>
          <w:lang w:val="en-CA"/>
        </w:rPr>
        <w:t xml:space="preserve">Retrieved from </w:t>
      </w:r>
    </w:p>
    <w:p w14:paraId="4AE715EC" w14:textId="26D1AA63" w:rsidR="00C059F5" w:rsidRPr="001F7E64" w:rsidRDefault="007E51D5" w:rsidP="00C357E6">
      <w:pPr>
        <w:pBdr>
          <w:bottom w:val="single" w:sz="4" w:space="1" w:color="auto"/>
        </w:pBdr>
        <w:rPr>
          <w:color w:val="0000FF"/>
        </w:rPr>
      </w:pPr>
      <w:hyperlink r:id="rId14" w:history="1">
        <w:r w:rsidR="00811360" w:rsidRPr="001F7E64">
          <w:rPr>
            <w:rStyle w:val="Hyperlink"/>
            <w:color w:val="0000FF"/>
          </w:rPr>
          <w:t>https://extranet.ahsnet.ca/teams/policydocuments/1/clp-ahs-pol-social-media.pdf</w:t>
        </w:r>
      </w:hyperlink>
    </w:p>
    <w:p w14:paraId="580B22C3" w14:textId="77777777" w:rsidR="00811360" w:rsidRPr="00811360" w:rsidRDefault="00811360" w:rsidP="00C357E6">
      <w:pPr>
        <w:pBdr>
          <w:bottom w:val="single" w:sz="4" w:space="1" w:color="auto"/>
        </w:pBdr>
        <w:rPr>
          <w:i/>
          <w:color w:val="00B0F0"/>
          <w:sz w:val="16"/>
          <w:szCs w:val="16"/>
          <w:lang w:val="en-CA"/>
        </w:rPr>
      </w:pPr>
    </w:p>
    <w:p w14:paraId="715B2CC3" w14:textId="7F44E69F" w:rsidR="002F7A57" w:rsidRPr="0016633F" w:rsidRDefault="5DE70FAA" w:rsidP="002F7A57">
      <w:pPr>
        <w:rPr>
          <w:b/>
          <w:i/>
          <w:lang w:val="en-CA"/>
        </w:rPr>
      </w:pPr>
      <w:r w:rsidRPr="5DE70FAA">
        <w:rPr>
          <w:b/>
          <w:bCs/>
          <w:i/>
          <w:iCs/>
          <w:lang w:val="en-CA"/>
        </w:rPr>
        <w:t xml:space="preserve">*NOTE: NESA Policies exist within organizational frameworks of policy for Lethbridge College and the University of Lethbridge, and within agreements established with practice partner organizations. </w:t>
      </w:r>
      <w:proofErr w:type="gramStart"/>
      <w:r w:rsidRPr="5DE70FAA">
        <w:rPr>
          <w:b/>
          <w:bCs/>
          <w:i/>
          <w:iCs/>
          <w:lang w:val="en-CA"/>
        </w:rPr>
        <w:t>If and when</w:t>
      </w:r>
      <w:proofErr w:type="gramEnd"/>
      <w:r w:rsidRPr="5DE70FAA">
        <w:rPr>
          <w:b/>
          <w:bCs/>
          <w:i/>
          <w:iCs/>
          <w:lang w:val="en-CA"/>
        </w:rPr>
        <w:t xml:space="preserve"> NESA policies are found to differ from such policies and agreements, it is important to note that such policies/agreements will take precedence over NESA program policies.</w:t>
      </w:r>
    </w:p>
    <w:p w14:paraId="675AB9B6" w14:textId="77777777" w:rsidR="002F7A57" w:rsidRPr="002F7A57" w:rsidRDefault="002F7A57" w:rsidP="002F7A57">
      <w:pPr>
        <w:rPr>
          <w:i/>
          <w:color w:val="FF0000"/>
          <w:sz w:val="16"/>
          <w:szCs w:val="16"/>
          <w:lang w:val="en-CA"/>
        </w:rPr>
      </w:pPr>
    </w:p>
    <w:tbl>
      <w:tblPr>
        <w:tblStyle w:val="TableGrid"/>
        <w:tblW w:w="0" w:type="auto"/>
        <w:tblLook w:val="04A0" w:firstRow="1" w:lastRow="0" w:firstColumn="1" w:lastColumn="0" w:noHBand="0" w:noVBand="1"/>
        <w:tblCaption w:val=""/>
        <w:tblDescription w:val=""/>
      </w:tblPr>
      <w:tblGrid>
        <w:gridCol w:w="4676"/>
        <w:gridCol w:w="4674"/>
      </w:tblGrid>
      <w:tr w:rsidR="00492D13" w14:paraId="17C9EF8A" w14:textId="77777777" w:rsidTr="005D63D9">
        <w:tc>
          <w:tcPr>
            <w:tcW w:w="4676" w:type="dxa"/>
          </w:tcPr>
          <w:p w14:paraId="1E3357C7" w14:textId="77777777" w:rsidR="00492D13" w:rsidRPr="00F9680C" w:rsidRDefault="5DE70FAA" w:rsidP="007C1AA4">
            <w:pPr>
              <w:rPr>
                <w:b/>
                <w:lang w:val="en-CA"/>
              </w:rPr>
            </w:pPr>
            <w:r w:rsidRPr="5DE70FAA">
              <w:rPr>
                <w:b/>
                <w:bCs/>
                <w:lang w:val="en-CA"/>
              </w:rPr>
              <w:t>Revised By/Date:</w:t>
            </w:r>
          </w:p>
        </w:tc>
        <w:tc>
          <w:tcPr>
            <w:tcW w:w="4674" w:type="dxa"/>
          </w:tcPr>
          <w:p w14:paraId="168D95AB" w14:textId="77777777" w:rsidR="00492D13" w:rsidRDefault="5DE70FAA" w:rsidP="006F5E3D">
            <w:pPr>
              <w:rPr>
                <w:lang w:val="en-CA"/>
              </w:rPr>
            </w:pPr>
            <w:r w:rsidRPr="5DE70FAA">
              <w:rPr>
                <w:b/>
                <w:bCs/>
                <w:lang w:val="en-CA"/>
              </w:rPr>
              <w:t>Approved by/date:</w:t>
            </w:r>
            <w:r w:rsidRPr="5DE70FAA">
              <w:rPr>
                <w:lang w:val="en-CA"/>
              </w:rPr>
              <w:t xml:space="preserve"> </w:t>
            </w:r>
          </w:p>
        </w:tc>
      </w:tr>
      <w:tr w:rsidR="00F9680C" w:rsidRPr="00F9680C" w14:paraId="7B3D61BF" w14:textId="77777777" w:rsidTr="005D63D9">
        <w:tc>
          <w:tcPr>
            <w:tcW w:w="4676" w:type="dxa"/>
          </w:tcPr>
          <w:p w14:paraId="26C2BC8C" w14:textId="77777777" w:rsidR="00F9680C" w:rsidRPr="00F9680C" w:rsidRDefault="5DE70FAA" w:rsidP="00FA5EC6">
            <w:pPr>
              <w:rPr>
                <w:lang w:val="en-CA"/>
              </w:rPr>
            </w:pPr>
            <w:r w:rsidRPr="5DE70FAA">
              <w:rPr>
                <w:lang w:val="en-CA"/>
              </w:rPr>
              <w:t>Policy Review Committee: March 2013</w:t>
            </w:r>
          </w:p>
        </w:tc>
        <w:tc>
          <w:tcPr>
            <w:tcW w:w="4674" w:type="dxa"/>
          </w:tcPr>
          <w:p w14:paraId="0B1C1248" w14:textId="77777777" w:rsidR="00F9680C" w:rsidRPr="00F9680C" w:rsidRDefault="5DE70FAA" w:rsidP="006F5E3D">
            <w:pPr>
              <w:rPr>
                <w:lang w:val="en-CA"/>
              </w:rPr>
            </w:pPr>
            <w:r w:rsidRPr="5DE70FAA">
              <w:rPr>
                <w:lang w:val="en-CA"/>
              </w:rPr>
              <w:t>NESA Joint Faculty Council: April 2013</w:t>
            </w:r>
          </w:p>
        </w:tc>
      </w:tr>
      <w:tr w:rsidR="003049C7" w:rsidRPr="00F9680C" w14:paraId="07B353EE" w14:textId="77777777" w:rsidTr="005D63D9">
        <w:tc>
          <w:tcPr>
            <w:tcW w:w="4676" w:type="dxa"/>
          </w:tcPr>
          <w:p w14:paraId="3C93DE20" w14:textId="53AEABFA" w:rsidR="003049C7" w:rsidRPr="00F9680C" w:rsidRDefault="05488103" w:rsidP="00976FA1">
            <w:pPr>
              <w:rPr>
                <w:lang w:val="en-CA"/>
              </w:rPr>
            </w:pPr>
            <w:r w:rsidRPr="05488103">
              <w:rPr>
                <w:lang w:val="en-CA"/>
              </w:rPr>
              <w:t>Policy Review Committee: February 2015</w:t>
            </w:r>
          </w:p>
        </w:tc>
        <w:tc>
          <w:tcPr>
            <w:tcW w:w="4674" w:type="dxa"/>
          </w:tcPr>
          <w:p w14:paraId="384AF263" w14:textId="13C712AE" w:rsidR="003049C7" w:rsidRDefault="5DE70FAA" w:rsidP="006F5E3D">
            <w:pPr>
              <w:rPr>
                <w:lang w:val="en-CA"/>
              </w:rPr>
            </w:pPr>
            <w:r w:rsidRPr="5DE70FAA">
              <w:rPr>
                <w:lang w:val="en-CA"/>
              </w:rPr>
              <w:t xml:space="preserve">Not </w:t>
            </w:r>
            <w:r w:rsidR="00371338">
              <w:rPr>
                <w:lang w:val="en-CA"/>
              </w:rPr>
              <w:t>R</w:t>
            </w:r>
            <w:r w:rsidRPr="5DE70FAA">
              <w:rPr>
                <w:lang w:val="en-CA"/>
              </w:rPr>
              <w:t>equired: editorial and formatting</w:t>
            </w:r>
          </w:p>
        </w:tc>
      </w:tr>
      <w:tr w:rsidR="5DE70FAA" w14:paraId="02A468FB" w14:textId="77777777" w:rsidTr="005D63D9">
        <w:tc>
          <w:tcPr>
            <w:tcW w:w="4676" w:type="dxa"/>
          </w:tcPr>
          <w:p w14:paraId="6B279A11" w14:textId="6F08804A" w:rsidR="5DE70FAA" w:rsidRDefault="5DE70FAA" w:rsidP="5DE70FAA">
            <w:r w:rsidRPr="5DE70FAA">
              <w:rPr>
                <w:lang w:val="en-CA"/>
              </w:rPr>
              <w:t>Policy Review Committee: December 2015</w:t>
            </w:r>
          </w:p>
        </w:tc>
        <w:tc>
          <w:tcPr>
            <w:tcW w:w="4674" w:type="dxa"/>
          </w:tcPr>
          <w:p w14:paraId="51ED6C4D" w14:textId="6D944A76" w:rsidR="5DE70FAA" w:rsidRDefault="5DE70FAA" w:rsidP="5DE70FAA">
            <w:r w:rsidRPr="5DE70FAA">
              <w:rPr>
                <w:lang w:val="en-CA"/>
              </w:rPr>
              <w:t xml:space="preserve">Not </w:t>
            </w:r>
            <w:r w:rsidR="00371338">
              <w:rPr>
                <w:lang w:val="en-CA"/>
              </w:rPr>
              <w:t>R</w:t>
            </w:r>
            <w:r w:rsidRPr="5DE70FAA">
              <w:rPr>
                <w:lang w:val="en-CA"/>
              </w:rPr>
              <w:t>equired: editorial change</w:t>
            </w:r>
            <w:r w:rsidR="001951BF">
              <w:rPr>
                <w:lang w:val="en-CA"/>
              </w:rPr>
              <w:t>s</w:t>
            </w:r>
          </w:p>
        </w:tc>
      </w:tr>
      <w:tr w:rsidR="005D63D9" w14:paraId="466DBB38" w14:textId="77777777" w:rsidTr="005D63D9">
        <w:tc>
          <w:tcPr>
            <w:tcW w:w="4676" w:type="dxa"/>
          </w:tcPr>
          <w:p w14:paraId="688FA0F1" w14:textId="342E9B5B" w:rsidR="005D63D9" w:rsidRPr="5DE70FAA" w:rsidRDefault="005D63D9" w:rsidP="005D63D9">
            <w:pPr>
              <w:rPr>
                <w:lang w:val="en-CA"/>
              </w:rPr>
            </w:pPr>
            <w:r w:rsidRPr="5DE70FAA">
              <w:rPr>
                <w:lang w:val="en-CA"/>
              </w:rPr>
              <w:t xml:space="preserve">Policy </w:t>
            </w:r>
            <w:r>
              <w:rPr>
                <w:lang w:val="en-CA"/>
              </w:rPr>
              <w:t>Review Committee: December 2016</w:t>
            </w:r>
          </w:p>
        </w:tc>
        <w:tc>
          <w:tcPr>
            <w:tcW w:w="4674" w:type="dxa"/>
          </w:tcPr>
          <w:p w14:paraId="691E31EA" w14:textId="41697144" w:rsidR="005D63D9" w:rsidRPr="5DE70FAA" w:rsidRDefault="005D63D9" w:rsidP="005D63D9">
            <w:pPr>
              <w:rPr>
                <w:lang w:val="en-CA"/>
              </w:rPr>
            </w:pPr>
            <w:r w:rsidRPr="5DE70FAA">
              <w:rPr>
                <w:lang w:val="en-CA"/>
              </w:rPr>
              <w:t xml:space="preserve">Not </w:t>
            </w:r>
            <w:r w:rsidR="00371338">
              <w:rPr>
                <w:lang w:val="en-CA"/>
              </w:rPr>
              <w:t>R</w:t>
            </w:r>
            <w:r w:rsidRPr="5DE70FAA">
              <w:rPr>
                <w:lang w:val="en-CA"/>
              </w:rPr>
              <w:t>equired: editorial change</w:t>
            </w:r>
            <w:r w:rsidR="001951BF">
              <w:rPr>
                <w:lang w:val="en-CA"/>
              </w:rPr>
              <w:t>s</w:t>
            </w:r>
          </w:p>
        </w:tc>
      </w:tr>
      <w:tr w:rsidR="00DF2660" w14:paraId="699D3641" w14:textId="77777777" w:rsidTr="005D63D9">
        <w:tc>
          <w:tcPr>
            <w:tcW w:w="4676" w:type="dxa"/>
          </w:tcPr>
          <w:p w14:paraId="38C76CD1" w14:textId="287B0629" w:rsidR="00DF2660" w:rsidRPr="5DE70FAA" w:rsidRDefault="00E05AA6" w:rsidP="005D63D9">
            <w:pPr>
              <w:rPr>
                <w:lang w:val="en-CA"/>
              </w:rPr>
            </w:pPr>
            <w:r>
              <w:rPr>
                <w:lang w:val="en-CA"/>
              </w:rPr>
              <w:lastRenderedPageBreak/>
              <w:t>Pol</w:t>
            </w:r>
            <w:r w:rsidR="00DF2660">
              <w:rPr>
                <w:lang w:val="en-CA"/>
              </w:rPr>
              <w:t>icy Review Committee: May 2017</w:t>
            </w:r>
          </w:p>
        </w:tc>
        <w:tc>
          <w:tcPr>
            <w:tcW w:w="4674" w:type="dxa"/>
          </w:tcPr>
          <w:p w14:paraId="55A6587A" w14:textId="210C9559" w:rsidR="00DF2660" w:rsidRPr="5DE70FAA" w:rsidRDefault="00DF2660" w:rsidP="005D63D9">
            <w:pPr>
              <w:rPr>
                <w:lang w:val="en-CA"/>
              </w:rPr>
            </w:pPr>
            <w:r>
              <w:rPr>
                <w:lang w:val="en-CA"/>
              </w:rPr>
              <w:t xml:space="preserve">Not </w:t>
            </w:r>
            <w:r w:rsidR="00371338">
              <w:rPr>
                <w:lang w:val="en-CA"/>
              </w:rPr>
              <w:t>R</w:t>
            </w:r>
            <w:r>
              <w:rPr>
                <w:lang w:val="en-CA"/>
              </w:rPr>
              <w:t>equired: editorial change</w:t>
            </w:r>
            <w:r w:rsidR="001951BF">
              <w:rPr>
                <w:lang w:val="en-CA"/>
              </w:rPr>
              <w:t>s</w:t>
            </w:r>
          </w:p>
        </w:tc>
      </w:tr>
      <w:tr w:rsidR="0016633F" w14:paraId="0B966C1D" w14:textId="77777777" w:rsidTr="005D63D9">
        <w:tc>
          <w:tcPr>
            <w:tcW w:w="4676" w:type="dxa"/>
          </w:tcPr>
          <w:p w14:paraId="44BD9905" w14:textId="52647526" w:rsidR="0016633F" w:rsidRPr="0016633F" w:rsidRDefault="0016633F" w:rsidP="005D63D9">
            <w:pPr>
              <w:rPr>
                <w:color w:val="FF0000"/>
                <w:lang w:val="en-CA"/>
              </w:rPr>
            </w:pPr>
            <w:r w:rsidRPr="002C31C7">
              <w:rPr>
                <w:lang w:val="en-CA"/>
              </w:rPr>
              <w:t>Policy Revie</w:t>
            </w:r>
            <w:r w:rsidR="00E05AA6" w:rsidRPr="002C31C7">
              <w:rPr>
                <w:lang w:val="en-CA"/>
              </w:rPr>
              <w:t>w</w:t>
            </w:r>
            <w:r w:rsidRPr="002C31C7">
              <w:rPr>
                <w:lang w:val="en-CA"/>
              </w:rPr>
              <w:t xml:space="preserve"> Committee: January 2019</w:t>
            </w:r>
          </w:p>
        </w:tc>
        <w:tc>
          <w:tcPr>
            <w:tcW w:w="4674" w:type="dxa"/>
          </w:tcPr>
          <w:p w14:paraId="38A42118" w14:textId="4EC4E4DE" w:rsidR="0016633F" w:rsidRDefault="00E05AA6" w:rsidP="005D63D9">
            <w:pPr>
              <w:rPr>
                <w:lang w:val="en-CA"/>
              </w:rPr>
            </w:pPr>
            <w:r>
              <w:rPr>
                <w:lang w:val="en-CA"/>
              </w:rPr>
              <w:t>New “specifics of the policy” bullet 4</w:t>
            </w:r>
            <w:r w:rsidR="002C31C7">
              <w:rPr>
                <w:lang w:val="en-CA"/>
              </w:rPr>
              <w:t>: NESA Joint Faculty Council: May 22, 2019</w:t>
            </w:r>
          </w:p>
        </w:tc>
      </w:tr>
      <w:tr w:rsidR="00371338" w14:paraId="720EC32B" w14:textId="77777777" w:rsidTr="005D63D9">
        <w:tc>
          <w:tcPr>
            <w:tcW w:w="4676" w:type="dxa"/>
          </w:tcPr>
          <w:p w14:paraId="43AD62C2" w14:textId="1825CE9D" w:rsidR="00371338" w:rsidRPr="002C31C7" w:rsidRDefault="00371338" w:rsidP="005D63D9">
            <w:pPr>
              <w:rPr>
                <w:lang w:val="en-CA"/>
              </w:rPr>
            </w:pPr>
            <w:r>
              <w:rPr>
                <w:lang w:val="en-CA"/>
              </w:rPr>
              <w:t>Policy Review Committee: April 2020</w:t>
            </w:r>
          </w:p>
        </w:tc>
        <w:tc>
          <w:tcPr>
            <w:tcW w:w="4674" w:type="dxa"/>
          </w:tcPr>
          <w:p w14:paraId="6DB273BB" w14:textId="028B131A" w:rsidR="00371338" w:rsidRDefault="00371338" w:rsidP="005D63D9">
            <w:pPr>
              <w:rPr>
                <w:lang w:val="en-CA"/>
              </w:rPr>
            </w:pPr>
            <w:r>
              <w:rPr>
                <w:lang w:val="en-CA"/>
              </w:rPr>
              <w:t>Not Required: no change</w:t>
            </w:r>
          </w:p>
        </w:tc>
      </w:tr>
      <w:tr w:rsidR="007E51D5" w14:paraId="050B2E99" w14:textId="77777777" w:rsidTr="005D63D9">
        <w:tc>
          <w:tcPr>
            <w:tcW w:w="4676" w:type="dxa"/>
          </w:tcPr>
          <w:p w14:paraId="02FC0AED" w14:textId="3DA6A165" w:rsidR="007E51D5" w:rsidRDefault="007E51D5" w:rsidP="005D63D9">
            <w:pPr>
              <w:rPr>
                <w:lang w:val="en-CA"/>
              </w:rPr>
            </w:pPr>
            <w:r>
              <w:rPr>
                <w:lang w:val="en-CA"/>
              </w:rPr>
              <w:t>Policy Review Committee: January 2021</w:t>
            </w:r>
          </w:p>
        </w:tc>
        <w:tc>
          <w:tcPr>
            <w:tcW w:w="4674" w:type="dxa"/>
          </w:tcPr>
          <w:p w14:paraId="1A3BD947" w14:textId="5F71ADFB" w:rsidR="007E51D5" w:rsidRDefault="007E51D5" w:rsidP="005D63D9">
            <w:pPr>
              <w:rPr>
                <w:lang w:val="en-CA"/>
              </w:rPr>
            </w:pPr>
            <w:r>
              <w:rPr>
                <w:lang w:val="en-CA"/>
              </w:rPr>
              <w:t>Not Required: link updates</w:t>
            </w:r>
          </w:p>
        </w:tc>
      </w:tr>
    </w:tbl>
    <w:p w14:paraId="6CA76141" w14:textId="77777777" w:rsidR="00FA5EC6" w:rsidRPr="00FA5EC6" w:rsidRDefault="00FA5EC6" w:rsidP="00FA5EC6">
      <w:pPr>
        <w:rPr>
          <w:lang w:val="en-CA"/>
        </w:rPr>
      </w:pPr>
    </w:p>
    <w:sectPr w:rsidR="00FA5EC6" w:rsidRPr="00FA5EC6" w:rsidSect="00101B3A">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58BD" w14:textId="77777777" w:rsidR="008226D8" w:rsidRDefault="008226D8" w:rsidP="00BC28E4">
      <w:pPr>
        <w:spacing w:after="0" w:line="240" w:lineRule="auto"/>
      </w:pPr>
      <w:r>
        <w:separator/>
      </w:r>
    </w:p>
  </w:endnote>
  <w:endnote w:type="continuationSeparator" w:id="0">
    <w:p w14:paraId="20861332" w14:textId="77777777" w:rsidR="008226D8" w:rsidRDefault="008226D8"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2954"/>
      <w:docPartObj>
        <w:docPartGallery w:val="Page Numbers (Bottom of Page)"/>
        <w:docPartUnique/>
      </w:docPartObj>
    </w:sdtPr>
    <w:sdtEndPr>
      <w:rPr>
        <w:noProof/>
      </w:rPr>
    </w:sdtEndPr>
    <w:sdtContent>
      <w:p w14:paraId="1B8CF4C1" w14:textId="2C3F0F9A" w:rsidR="00BC28E4" w:rsidRDefault="00342EE4">
        <w:pPr>
          <w:pStyle w:val="Footer"/>
          <w:jc w:val="center"/>
        </w:pPr>
        <w:r>
          <w:fldChar w:fldCharType="begin"/>
        </w:r>
        <w:r w:rsidR="00BC28E4">
          <w:instrText xml:space="preserve"> PAGE   \* MERGEFORMAT </w:instrText>
        </w:r>
        <w:r>
          <w:fldChar w:fldCharType="separate"/>
        </w:r>
        <w:r w:rsidR="004B425B">
          <w:rPr>
            <w:noProof/>
          </w:rPr>
          <w:t>4</w:t>
        </w:r>
        <w:r>
          <w:rPr>
            <w:noProof/>
          </w:rPr>
          <w:fldChar w:fldCharType="end"/>
        </w:r>
      </w:p>
    </w:sdtContent>
  </w:sdt>
  <w:p w14:paraId="213A466E" w14:textId="77777777"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F738" w14:textId="77777777" w:rsidR="008226D8" w:rsidRDefault="008226D8" w:rsidP="00BC28E4">
      <w:pPr>
        <w:spacing w:after="0" w:line="240" w:lineRule="auto"/>
      </w:pPr>
      <w:r>
        <w:separator/>
      </w:r>
    </w:p>
  </w:footnote>
  <w:footnote w:type="continuationSeparator" w:id="0">
    <w:p w14:paraId="4224A6D2" w14:textId="77777777" w:rsidR="008226D8" w:rsidRDefault="008226D8"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1446" w14:textId="77777777" w:rsidR="00BC28E4" w:rsidRDefault="00BC28E4">
    <w:pPr>
      <w:pStyle w:val="Header"/>
    </w:pPr>
  </w:p>
  <w:p w14:paraId="1BE9DFAF"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AC4858"/>
    <w:multiLevelType w:val="hybridMultilevel"/>
    <w:tmpl w:val="546E8A3C"/>
    <w:lvl w:ilvl="0" w:tplc="B61AB14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51439"/>
    <w:multiLevelType w:val="hybridMultilevel"/>
    <w:tmpl w:val="67E2E7A2"/>
    <w:lvl w:ilvl="0" w:tplc="523088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8"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3E684D26"/>
    <w:multiLevelType w:val="hybridMultilevel"/>
    <w:tmpl w:val="72C20826"/>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0" w15:restartNumberingAfterBreak="0">
    <w:nsid w:val="44650A95"/>
    <w:multiLevelType w:val="hybridMultilevel"/>
    <w:tmpl w:val="3CE451E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E3A39"/>
    <w:multiLevelType w:val="hybridMultilevel"/>
    <w:tmpl w:val="0870250C"/>
    <w:lvl w:ilvl="0" w:tplc="DE9EF1C0">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A0020B"/>
    <w:multiLevelType w:val="hybridMultilevel"/>
    <w:tmpl w:val="F9F6F5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242501"/>
    <w:multiLevelType w:val="hybridMultilevel"/>
    <w:tmpl w:val="ACD269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8" w15:restartNumberingAfterBreak="0">
    <w:nsid w:val="7A637681"/>
    <w:multiLevelType w:val="hybridMultilevel"/>
    <w:tmpl w:val="2036363E"/>
    <w:lvl w:ilvl="0" w:tplc="6F3CBB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7BD737B0"/>
    <w:multiLevelType w:val="hybridMultilevel"/>
    <w:tmpl w:val="77A6B2D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3"/>
  </w:num>
  <w:num w:numId="3">
    <w:abstractNumId w:val="1"/>
  </w:num>
  <w:num w:numId="4">
    <w:abstractNumId w:val="17"/>
  </w:num>
  <w:num w:numId="5">
    <w:abstractNumId w:val="5"/>
  </w:num>
  <w:num w:numId="6">
    <w:abstractNumId w:val="14"/>
  </w:num>
  <w:num w:numId="7">
    <w:abstractNumId w:val="7"/>
  </w:num>
  <w:num w:numId="8">
    <w:abstractNumId w:val="20"/>
  </w:num>
  <w:num w:numId="9">
    <w:abstractNumId w:val="3"/>
  </w:num>
  <w:num w:numId="10">
    <w:abstractNumId w:val="0"/>
  </w:num>
  <w:num w:numId="11">
    <w:abstractNumId w:val="2"/>
  </w:num>
  <w:num w:numId="12">
    <w:abstractNumId w:val="8"/>
  </w:num>
  <w:num w:numId="13">
    <w:abstractNumId w:val="18"/>
  </w:num>
  <w:num w:numId="14">
    <w:abstractNumId w:val="6"/>
  </w:num>
  <w:num w:numId="15">
    <w:abstractNumId w:val="15"/>
  </w:num>
  <w:num w:numId="16">
    <w:abstractNumId w:val="12"/>
  </w:num>
  <w:num w:numId="17">
    <w:abstractNumId w:val="4"/>
  </w:num>
  <w:num w:numId="18">
    <w:abstractNumId w:val="10"/>
  </w:num>
  <w:num w:numId="19">
    <w:abstractNumId w:val="9"/>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03738"/>
    <w:rsid w:val="0002181C"/>
    <w:rsid w:val="00055D74"/>
    <w:rsid w:val="00063580"/>
    <w:rsid w:val="0007450F"/>
    <w:rsid w:val="00080F1B"/>
    <w:rsid w:val="000912F0"/>
    <w:rsid w:val="000C6769"/>
    <w:rsid w:val="000F4404"/>
    <w:rsid w:val="000F65D8"/>
    <w:rsid w:val="00101B3A"/>
    <w:rsid w:val="001165A2"/>
    <w:rsid w:val="0016633F"/>
    <w:rsid w:val="001951BF"/>
    <w:rsid w:val="00197781"/>
    <w:rsid w:val="001C43EB"/>
    <w:rsid w:val="001F7E64"/>
    <w:rsid w:val="002211EE"/>
    <w:rsid w:val="0024214B"/>
    <w:rsid w:val="00272053"/>
    <w:rsid w:val="002C31C7"/>
    <w:rsid w:val="002D7029"/>
    <w:rsid w:val="002F7A57"/>
    <w:rsid w:val="00303A96"/>
    <w:rsid w:val="003049C7"/>
    <w:rsid w:val="003107D0"/>
    <w:rsid w:val="00341F58"/>
    <w:rsid w:val="00342EE4"/>
    <w:rsid w:val="0036628C"/>
    <w:rsid w:val="00371338"/>
    <w:rsid w:val="00383B8D"/>
    <w:rsid w:val="003A63DD"/>
    <w:rsid w:val="003C5E09"/>
    <w:rsid w:val="003E6D07"/>
    <w:rsid w:val="00413120"/>
    <w:rsid w:val="004268F3"/>
    <w:rsid w:val="004343AF"/>
    <w:rsid w:val="00442B53"/>
    <w:rsid w:val="00472DBD"/>
    <w:rsid w:val="00492D13"/>
    <w:rsid w:val="004B425B"/>
    <w:rsid w:val="004C0CE5"/>
    <w:rsid w:val="004D4905"/>
    <w:rsid w:val="004F0AB8"/>
    <w:rsid w:val="004F0E10"/>
    <w:rsid w:val="004F40E5"/>
    <w:rsid w:val="00511526"/>
    <w:rsid w:val="005420F6"/>
    <w:rsid w:val="005660E9"/>
    <w:rsid w:val="005B1E00"/>
    <w:rsid w:val="005B278F"/>
    <w:rsid w:val="005C615B"/>
    <w:rsid w:val="005D303A"/>
    <w:rsid w:val="005D3D1B"/>
    <w:rsid w:val="005D63D9"/>
    <w:rsid w:val="005E04A1"/>
    <w:rsid w:val="005F031C"/>
    <w:rsid w:val="0060008A"/>
    <w:rsid w:val="00651811"/>
    <w:rsid w:val="006675E2"/>
    <w:rsid w:val="006752F5"/>
    <w:rsid w:val="00685110"/>
    <w:rsid w:val="006B3AEF"/>
    <w:rsid w:val="006F5E3D"/>
    <w:rsid w:val="007150B6"/>
    <w:rsid w:val="00725527"/>
    <w:rsid w:val="00756911"/>
    <w:rsid w:val="00794B47"/>
    <w:rsid w:val="007C1AA4"/>
    <w:rsid w:val="007C4482"/>
    <w:rsid w:val="007D0300"/>
    <w:rsid w:val="007E51D5"/>
    <w:rsid w:val="007F3FF3"/>
    <w:rsid w:val="00811360"/>
    <w:rsid w:val="00812636"/>
    <w:rsid w:val="00813279"/>
    <w:rsid w:val="008226D8"/>
    <w:rsid w:val="00827229"/>
    <w:rsid w:val="00833E77"/>
    <w:rsid w:val="00833FB7"/>
    <w:rsid w:val="00894084"/>
    <w:rsid w:val="008A4A96"/>
    <w:rsid w:val="008E4578"/>
    <w:rsid w:val="009305C8"/>
    <w:rsid w:val="009420EA"/>
    <w:rsid w:val="00963D43"/>
    <w:rsid w:val="00976FA1"/>
    <w:rsid w:val="00993AC4"/>
    <w:rsid w:val="00993CC3"/>
    <w:rsid w:val="009D5E5D"/>
    <w:rsid w:val="009F40F3"/>
    <w:rsid w:val="009F4395"/>
    <w:rsid w:val="009F6E6F"/>
    <w:rsid w:val="00A168F9"/>
    <w:rsid w:val="00A8651C"/>
    <w:rsid w:val="00A97C17"/>
    <w:rsid w:val="00AB5EE8"/>
    <w:rsid w:val="00AC1131"/>
    <w:rsid w:val="00AD55F9"/>
    <w:rsid w:val="00AE6E18"/>
    <w:rsid w:val="00B00073"/>
    <w:rsid w:val="00B12B60"/>
    <w:rsid w:val="00B1758E"/>
    <w:rsid w:val="00B55C8F"/>
    <w:rsid w:val="00B82151"/>
    <w:rsid w:val="00BB23AC"/>
    <w:rsid w:val="00BC28E4"/>
    <w:rsid w:val="00BD0C6F"/>
    <w:rsid w:val="00BE149B"/>
    <w:rsid w:val="00C059F5"/>
    <w:rsid w:val="00C13DB5"/>
    <w:rsid w:val="00C16F20"/>
    <w:rsid w:val="00C20266"/>
    <w:rsid w:val="00C27104"/>
    <w:rsid w:val="00C301CF"/>
    <w:rsid w:val="00C31B16"/>
    <w:rsid w:val="00C357E6"/>
    <w:rsid w:val="00C91F92"/>
    <w:rsid w:val="00CB00F7"/>
    <w:rsid w:val="00CE0B6C"/>
    <w:rsid w:val="00CF6637"/>
    <w:rsid w:val="00CF7E49"/>
    <w:rsid w:val="00D00504"/>
    <w:rsid w:val="00D132AD"/>
    <w:rsid w:val="00D2320E"/>
    <w:rsid w:val="00D24B91"/>
    <w:rsid w:val="00D371B3"/>
    <w:rsid w:val="00D546C2"/>
    <w:rsid w:val="00D75385"/>
    <w:rsid w:val="00D76737"/>
    <w:rsid w:val="00D84246"/>
    <w:rsid w:val="00D863C7"/>
    <w:rsid w:val="00D9202B"/>
    <w:rsid w:val="00DE3E74"/>
    <w:rsid w:val="00DF2660"/>
    <w:rsid w:val="00E02380"/>
    <w:rsid w:val="00E05AA6"/>
    <w:rsid w:val="00E33151"/>
    <w:rsid w:val="00E83A6A"/>
    <w:rsid w:val="00EA064D"/>
    <w:rsid w:val="00EB0560"/>
    <w:rsid w:val="00EB2F7E"/>
    <w:rsid w:val="00ED0317"/>
    <w:rsid w:val="00EF0386"/>
    <w:rsid w:val="00EF7490"/>
    <w:rsid w:val="00F21459"/>
    <w:rsid w:val="00F37675"/>
    <w:rsid w:val="00F82807"/>
    <w:rsid w:val="00F9680C"/>
    <w:rsid w:val="00FA5EC6"/>
    <w:rsid w:val="00FA6097"/>
    <w:rsid w:val="00FA748C"/>
    <w:rsid w:val="00FD4F36"/>
    <w:rsid w:val="00FF7AD1"/>
    <w:rsid w:val="05488103"/>
    <w:rsid w:val="5DE7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E937"/>
  <w15:docId w15:val="{FFD23A8F-C75E-4F42-9D30-C5F6FFF8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character" w:styleId="CommentReference">
    <w:name w:val="annotation reference"/>
    <w:basedOn w:val="DefaultParagraphFont"/>
    <w:uiPriority w:val="99"/>
    <w:semiHidden/>
    <w:unhideWhenUsed/>
    <w:rsid w:val="00FF7AD1"/>
    <w:rPr>
      <w:sz w:val="16"/>
      <w:szCs w:val="16"/>
    </w:rPr>
  </w:style>
  <w:style w:type="paragraph" w:styleId="CommentText">
    <w:name w:val="annotation text"/>
    <w:basedOn w:val="Normal"/>
    <w:link w:val="CommentTextChar"/>
    <w:uiPriority w:val="99"/>
    <w:semiHidden/>
    <w:unhideWhenUsed/>
    <w:rsid w:val="00FF7AD1"/>
    <w:pPr>
      <w:spacing w:line="240" w:lineRule="auto"/>
    </w:pPr>
    <w:rPr>
      <w:sz w:val="20"/>
      <w:szCs w:val="20"/>
    </w:rPr>
  </w:style>
  <w:style w:type="character" w:customStyle="1" w:styleId="CommentTextChar">
    <w:name w:val="Comment Text Char"/>
    <w:basedOn w:val="DefaultParagraphFont"/>
    <w:link w:val="CommentText"/>
    <w:uiPriority w:val="99"/>
    <w:semiHidden/>
    <w:rsid w:val="00FF7AD1"/>
    <w:rPr>
      <w:sz w:val="20"/>
      <w:szCs w:val="20"/>
    </w:rPr>
  </w:style>
  <w:style w:type="paragraph" w:styleId="CommentSubject">
    <w:name w:val="annotation subject"/>
    <w:basedOn w:val="CommentText"/>
    <w:next w:val="CommentText"/>
    <w:link w:val="CommentSubjectChar"/>
    <w:uiPriority w:val="99"/>
    <w:semiHidden/>
    <w:unhideWhenUsed/>
    <w:rsid w:val="007D0300"/>
    <w:rPr>
      <w:b/>
      <w:bCs/>
    </w:rPr>
  </w:style>
  <w:style w:type="character" w:customStyle="1" w:styleId="CommentSubjectChar">
    <w:name w:val="Comment Subject Char"/>
    <w:basedOn w:val="CommentTextChar"/>
    <w:link w:val="CommentSubject"/>
    <w:uiPriority w:val="99"/>
    <w:semiHidden/>
    <w:rsid w:val="007D0300"/>
    <w:rPr>
      <w:b/>
      <w:bCs/>
      <w:sz w:val="20"/>
      <w:szCs w:val="20"/>
    </w:rPr>
  </w:style>
  <w:style w:type="character" w:styleId="UnresolvedMention">
    <w:name w:val="Unresolved Mention"/>
    <w:basedOn w:val="DefaultParagraphFont"/>
    <w:uiPriority w:val="99"/>
    <w:semiHidden/>
    <w:unhideWhenUsed/>
    <w:rsid w:val="00C31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ahsnet.ca/teams/policydocuments/1/clp-ahs-pol-social-media.pdf%20" TargetMode="External"/><Relationship Id="rId13" Type="http://schemas.openxmlformats.org/officeDocument/2006/relationships/hyperlink" Target="https://www.cna-aiic.ca/html/en/Code-of-Ethics-2017-Edition/files/assets/basic-html/page-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leth.sharepoint.com/:b:/s/Policy/ESp1HvNhNMdGtWJdONpIbl0BRGXWJ6sjrNou8BZrYRA5Aw?e=v1vnk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thbridgecollege.ca/document-centre/policies-and-procedures/college-wide-policies-and-procedures/social-media-polic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thbridgecollege.ca/sites/default/files/2017-08/policies-procedures-community-corporate-relations-social-media-app-b.pdf" TargetMode="External"/><Relationship Id="rId4" Type="http://schemas.openxmlformats.org/officeDocument/2006/relationships/webSettings" Target="webSettings.xml"/><Relationship Id="rId9" Type="http://schemas.openxmlformats.org/officeDocument/2006/relationships/hyperlink" Target="http://www.qp.alberta.ca/1266.cfm?page=F25.cfm&amp;leg_type=Acts&amp;isbncln=97%20%20%2080779762071" TargetMode="External"/><Relationship Id="rId14" Type="http://schemas.openxmlformats.org/officeDocument/2006/relationships/hyperlink" Target="https://extranet.ahsnet.ca/teams/policydocuments/1/clp-ahs-pol-social-med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Taiki Marthiensen</cp:lastModifiedBy>
  <cp:revision>2</cp:revision>
  <cp:lastPrinted>2014-02-11T19:13:00Z</cp:lastPrinted>
  <dcterms:created xsi:type="dcterms:W3CDTF">2021-06-14T20:44:00Z</dcterms:created>
  <dcterms:modified xsi:type="dcterms:W3CDTF">2021-06-14T20:44:00Z</dcterms:modified>
</cp:coreProperties>
</file>