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CE77"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01EC307B" wp14:editId="5D0CA15E">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4227575D" w14:textId="77777777" w:rsidR="00D75385" w:rsidRPr="00993AC4" w:rsidRDefault="005D7F38" w:rsidP="008A4A96">
      <w:pPr>
        <w:spacing w:before="240"/>
        <w:jc w:val="center"/>
        <w:rPr>
          <w:b/>
          <w:sz w:val="36"/>
          <w:szCs w:val="36"/>
          <w:lang w:val="en-CA"/>
        </w:rPr>
      </w:pPr>
      <w:r>
        <w:rPr>
          <w:b/>
          <w:sz w:val="36"/>
          <w:szCs w:val="36"/>
          <w:lang w:val="en-CA"/>
        </w:rPr>
        <w:t xml:space="preserve">Policy: </w:t>
      </w:r>
      <w:r w:rsidR="002852B3">
        <w:rPr>
          <w:b/>
          <w:sz w:val="36"/>
          <w:szCs w:val="36"/>
          <w:lang w:val="en-CA"/>
        </w:rPr>
        <w:t>Fitness to Practi</w:t>
      </w:r>
      <w:r>
        <w:rPr>
          <w:b/>
          <w:sz w:val="36"/>
          <w:szCs w:val="36"/>
          <w:lang w:val="en-CA"/>
        </w:rPr>
        <w:t>c</w:t>
      </w:r>
      <w:r w:rsidR="0012499E">
        <w:rPr>
          <w:b/>
          <w:sz w:val="36"/>
          <w:szCs w:val="36"/>
          <w:lang w:val="en-CA"/>
        </w:rPr>
        <w:t>e</w:t>
      </w:r>
    </w:p>
    <w:p w14:paraId="7A4F6419" w14:textId="77777777" w:rsidR="000C6769" w:rsidRPr="00D24B91" w:rsidRDefault="00993AC4" w:rsidP="00D24B91">
      <w:pPr>
        <w:pBdr>
          <w:bottom w:val="single" w:sz="4" w:space="1" w:color="auto"/>
        </w:pBdr>
        <w:rPr>
          <w:b/>
          <w:lang w:val="en-CA"/>
        </w:rPr>
      </w:pPr>
      <w:r>
        <w:rPr>
          <w:b/>
          <w:lang w:val="en-CA"/>
        </w:rPr>
        <w:t>PURPOSE:</w:t>
      </w:r>
    </w:p>
    <w:p w14:paraId="52C000B4" w14:textId="580EEF7B" w:rsidR="00B10D75" w:rsidRPr="00A9336D" w:rsidRDefault="00D75385" w:rsidP="00B10D75">
      <w:pPr>
        <w:rPr>
          <w:lang w:val="en-CA"/>
        </w:rPr>
      </w:pPr>
      <w:r w:rsidRPr="00A9336D">
        <w:rPr>
          <w:lang w:val="en-CA"/>
        </w:rPr>
        <w:t>Th</w:t>
      </w:r>
      <w:r w:rsidR="000C6769" w:rsidRPr="00A9336D">
        <w:rPr>
          <w:lang w:val="en-CA"/>
        </w:rPr>
        <w:t>e purpose of this policy is to</w:t>
      </w:r>
      <w:r w:rsidR="00DA48EB" w:rsidRPr="00A9336D">
        <w:rPr>
          <w:lang w:val="en-CA"/>
        </w:rPr>
        <w:t xml:space="preserve"> guide students</w:t>
      </w:r>
      <w:r w:rsidR="00B034E3" w:rsidRPr="00A9336D">
        <w:rPr>
          <w:lang w:val="en-CA"/>
        </w:rPr>
        <w:t xml:space="preserve"> of the NESA BN Programs</w:t>
      </w:r>
      <w:r w:rsidR="00B10D75" w:rsidRPr="00A9336D">
        <w:rPr>
          <w:lang w:val="en-CA"/>
        </w:rPr>
        <w:t>, as developing</w:t>
      </w:r>
      <w:r w:rsidR="00CC3B91" w:rsidRPr="00A9336D">
        <w:rPr>
          <w:lang w:val="en-CA"/>
        </w:rPr>
        <w:t xml:space="preserve"> professionals</w:t>
      </w:r>
      <w:r w:rsidR="0091221E">
        <w:rPr>
          <w:lang w:val="en-CA"/>
        </w:rPr>
        <w:t xml:space="preserve"> in</w:t>
      </w:r>
      <w:r w:rsidR="00B10D75" w:rsidRPr="00A9336D">
        <w:rPr>
          <w:lang w:val="en-CA"/>
        </w:rPr>
        <w:t xml:space="preserve">: </w:t>
      </w:r>
    </w:p>
    <w:p w14:paraId="2AE7C957" w14:textId="6EF44652" w:rsidR="00F26BFF" w:rsidRPr="00AE233A" w:rsidRDefault="0091221E" w:rsidP="00F26BFF">
      <w:pPr>
        <w:pStyle w:val="ListParagraph"/>
        <w:numPr>
          <w:ilvl w:val="0"/>
          <w:numId w:val="21"/>
        </w:numPr>
        <w:rPr>
          <w:lang w:val="en-CA"/>
        </w:rPr>
      </w:pPr>
      <w:r w:rsidRPr="00AE233A">
        <w:rPr>
          <w:lang w:val="en-CA"/>
        </w:rPr>
        <w:t>U</w:t>
      </w:r>
      <w:r w:rsidR="00B10D75" w:rsidRPr="00AE233A">
        <w:rPr>
          <w:lang w:val="en-CA"/>
        </w:rPr>
        <w:t>nderstand</w:t>
      </w:r>
      <w:r w:rsidRPr="00AE233A">
        <w:rPr>
          <w:lang w:val="en-CA"/>
        </w:rPr>
        <w:t>ing</w:t>
      </w:r>
      <w:r w:rsidR="004B72F6" w:rsidRPr="00AE233A">
        <w:rPr>
          <w:lang w:val="en-CA"/>
        </w:rPr>
        <w:t xml:space="preserve"> what</w:t>
      </w:r>
      <w:r w:rsidR="00B10D75" w:rsidRPr="00AE233A">
        <w:rPr>
          <w:lang w:val="en-CA"/>
        </w:rPr>
        <w:t xml:space="preserve"> </w:t>
      </w:r>
      <w:r w:rsidRPr="00AE233A">
        <w:rPr>
          <w:i/>
          <w:iCs/>
          <w:lang w:val="en-CA"/>
        </w:rPr>
        <w:t>F</w:t>
      </w:r>
      <w:r w:rsidR="00B10D75" w:rsidRPr="00AE233A">
        <w:rPr>
          <w:i/>
          <w:iCs/>
          <w:lang w:val="en-CA"/>
        </w:rPr>
        <w:t xml:space="preserve">itness to </w:t>
      </w:r>
      <w:r w:rsidRPr="00AE233A">
        <w:rPr>
          <w:i/>
          <w:iCs/>
          <w:lang w:val="en-CA"/>
        </w:rPr>
        <w:t>P</w:t>
      </w:r>
      <w:r w:rsidR="00B10D75" w:rsidRPr="00AE233A">
        <w:rPr>
          <w:i/>
          <w:iCs/>
          <w:lang w:val="en-CA"/>
        </w:rPr>
        <w:t xml:space="preserve">ractice </w:t>
      </w:r>
      <w:r w:rsidR="004B72F6" w:rsidRPr="00AE233A">
        <w:rPr>
          <w:lang w:val="en-CA"/>
        </w:rPr>
        <w:t xml:space="preserve">means </w:t>
      </w:r>
      <w:r w:rsidR="00B10D75" w:rsidRPr="00AE233A">
        <w:rPr>
          <w:lang w:val="en-CA"/>
        </w:rPr>
        <w:t>and its relevance to their practi</w:t>
      </w:r>
      <w:r w:rsidR="004B72F6" w:rsidRPr="00AE233A">
        <w:rPr>
          <w:lang w:val="en-CA"/>
        </w:rPr>
        <w:t>c</w:t>
      </w:r>
      <w:r w:rsidR="00B10D75" w:rsidRPr="00AE233A">
        <w:rPr>
          <w:lang w:val="en-CA"/>
        </w:rPr>
        <w:t>e as students</w:t>
      </w:r>
    </w:p>
    <w:p w14:paraId="1923E12E" w14:textId="6EFE863D" w:rsidR="00F26BFF" w:rsidRPr="00AE233A" w:rsidRDefault="0091221E" w:rsidP="00B10D75">
      <w:pPr>
        <w:pStyle w:val="ListParagraph"/>
        <w:numPr>
          <w:ilvl w:val="0"/>
          <w:numId w:val="21"/>
        </w:numPr>
        <w:rPr>
          <w:lang w:val="en-CA"/>
        </w:rPr>
      </w:pPr>
      <w:r w:rsidRPr="00AE233A">
        <w:rPr>
          <w:lang w:val="en-CA"/>
        </w:rPr>
        <w:t>Awareness</w:t>
      </w:r>
      <w:r w:rsidR="00F26BFF" w:rsidRPr="00AE233A">
        <w:rPr>
          <w:lang w:val="en-CA"/>
        </w:rPr>
        <w:t xml:space="preserve"> of </w:t>
      </w:r>
      <w:r w:rsidR="004B72F6" w:rsidRPr="00AE233A">
        <w:rPr>
          <w:lang w:val="en-CA"/>
        </w:rPr>
        <w:t xml:space="preserve">the </w:t>
      </w:r>
      <w:r w:rsidR="00CC3B91" w:rsidRPr="00AE233A">
        <w:rPr>
          <w:lang w:val="en-CA"/>
        </w:rPr>
        <w:t>resources</w:t>
      </w:r>
      <w:r w:rsidR="004B72F6" w:rsidRPr="00AE233A">
        <w:rPr>
          <w:lang w:val="en-CA"/>
        </w:rPr>
        <w:t xml:space="preserve"> available</w:t>
      </w:r>
      <w:r w:rsidR="00CC3B91" w:rsidRPr="00AE233A">
        <w:rPr>
          <w:lang w:val="en-CA"/>
        </w:rPr>
        <w:t xml:space="preserve"> to</w:t>
      </w:r>
      <w:r w:rsidR="00F26BFF" w:rsidRPr="00AE233A">
        <w:rPr>
          <w:lang w:val="en-CA"/>
        </w:rPr>
        <w:t xml:space="preserve"> </w:t>
      </w:r>
      <w:r w:rsidR="004B72F6" w:rsidRPr="00AE233A">
        <w:rPr>
          <w:lang w:val="en-CA"/>
        </w:rPr>
        <w:t>maintain their</w:t>
      </w:r>
      <w:r w:rsidR="003050FE" w:rsidRPr="00AE233A">
        <w:rPr>
          <w:lang w:val="en-CA"/>
        </w:rPr>
        <w:t xml:space="preserve"> </w:t>
      </w:r>
      <w:r w:rsidRPr="00AE233A">
        <w:rPr>
          <w:i/>
          <w:iCs/>
          <w:lang w:val="en-CA"/>
        </w:rPr>
        <w:t>F</w:t>
      </w:r>
      <w:r w:rsidR="003050FE" w:rsidRPr="00AE233A">
        <w:rPr>
          <w:i/>
          <w:iCs/>
          <w:lang w:val="en-CA"/>
        </w:rPr>
        <w:t xml:space="preserve">itness to </w:t>
      </w:r>
      <w:r w:rsidRPr="00AE233A">
        <w:rPr>
          <w:i/>
          <w:iCs/>
          <w:lang w:val="en-CA"/>
        </w:rPr>
        <w:t>P</w:t>
      </w:r>
      <w:r w:rsidR="003050FE" w:rsidRPr="00AE233A">
        <w:rPr>
          <w:i/>
          <w:iCs/>
          <w:lang w:val="en-CA"/>
        </w:rPr>
        <w:t>ractic</w:t>
      </w:r>
      <w:r w:rsidR="00CF02BA" w:rsidRPr="00AE233A">
        <w:rPr>
          <w:i/>
          <w:iCs/>
          <w:lang w:val="en-CA"/>
        </w:rPr>
        <w:t>e</w:t>
      </w:r>
    </w:p>
    <w:p w14:paraId="740218FC" w14:textId="1F49DF66" w:rsidR="00555ECF" w:rsidRPr="0091221E" w:rsidRDefault="0091221E" w:rsidP="0091221E">
      <w:pPr>
        <w:pStyle w:val="ListParagraph"/>
        <w:numPr>
          <w:ilvl w:val="0"/>
          <w:numId w:val="21"/>
        </w:numPr>
        <w:rPr>
          <w:lang w:val="en-CA"/>
        </w:rPr>
      </w:pPr>
      <w:r w:rsidRPr="00AE233A">
        <w:rPr>
          <w:lang w:val="en-CA"/>
        </w:rPr>
        <w:t>Awareness</w:t>
      </w:r>
      <w:r w:rsidR="00F26BFF" w:rsidRPr="00F27C52">
        <w:rPr>
          <w:lang w:val="en-CA"/>
        </w:rPr>
        <w:t xml:space="preserve"> of </w:t>
      </w:r>
      <w:r w:rsidR="004B72F6">
        <w:rPr>
          <w:lang w:val="en-CA"/>
        </w:rPr>
        <w:t xml:space="preserve">the process and need to initiate a </w:t>
      </w:r>
      <w:r w:rsidRPr="0091221E">
        <w:rPr>
          <w:i/>
          <w:iCs/>
          <w:lang w:val="en-CA"/>
        </w:rPr>
        <w:t>F</w:t>
      </w:r>
      <w:r w:rsidR="004B72F6" w:rsidRPr="0091221E">
        <w:rPr>
          <w:i/>
          <w:iCs/>
          <w:lang w:val="en-CA"/>
        </w:rPr>
        <w:t xml:space="preserve">itness to </w:t>
      </w:r>
      <w:r w:rsidRPr="0091221E">
        <w:rPr>
          <w:i/>
          <w:iCs/>
          <w:lang w:val="en-CA"/>
        </w:rPr>
        <w:t>P</w:t>
      </w:r>
      <w:r w:rsidR="004B72F6" w:rsidRPr="0091221E">
        <w:rPr>
          <w:i/>
          <w:iCs/>
          <w:lang w:val="en-CA"/>
        </w:rPr>
        <w:t>ractice</w:t>
      </w:r>
      <w:r w:rsidR="004B72F6">
        <w:rPr>
          <w:lang w:val="en-CA"/>
        </w:rPr>
        <w:t xml:space="preserve"> </w:t>
      </w:r>
      <w:r w:rsidR="00744CCD">
        <w:rPr>
          <w:lang w:val="en-CA"/>
        </w:rPr>
        <w:t xml:space="preserve">occupational health </w:t>
      </w:r>
      <w:r w:rsidR="004B72F6">
        <w:rPr>
          <w:lang w:val="en-CA"/>
        </w:rPr>
        <w:t>assessment if</w:t>
      </w:r>
      <w:r w:rsidR="00CC3B91" w:rsidRPr="00F27C52">
        <w:rPr>
          <w:lang w:val="en-CA"/>
        </w:rPr>
        <w:t xml:space="preserve"> </w:t>
      </w:r>
      <w:r w:rsidR="004B72F6">
        <w:rPr>
          <w:lang w:val="en-CA"/>
        </w:rPr>
        <w:t>their fitness to practice is</w:t>
      </w:r>
      <w:r w:rsidR="00CC3B91" w:rsidRPr="00F27C52">
        <w:rPr>
          <w:lang w:val="en-CA"/>
        </w:rPr>
        <w:t xml:space="preserve"> compromised</w:t>
      </w:r>
    </w:p>
    <w:p w14:paraId="0F857229" w14:textId="77777777" w:rsidR="000F65D8" w:rsidRPr="002F7A57" w:rsidRDefault="000F65D8" w:rsidP="000F65D8">
      <w:pPr>
        <w:pBdr>
          <w:bottom w:val="single" w:sz="4" w:space="1" w:color="auto"/>
        </w:pBdr>
        <w:rPr>
          <w:lang w:val="en-CA"/>
        </w:rPr>
      </w:pPr>
      <w:r w:rsidRPr="002F7A57">
        <w:rPr>
          <w:b/>
          <w:lang w:val="en-CA"/>
        </w:rPr>
        <w:t>DEFINITIONS:</w:t>
      </w:r>
    </w:p>
    <w:p w14:paraId="0D79570E" w14:textId="77777777" w:rsidR="002852B3" w:rsidRPr="002852B3" w:rsidRDefault="002852B3" w:rsidP="006A7B8C">
      <w:pPr>
        <w:rPr>
          <w:lang w:val="en-CA"/>
        </w:rPr>
      </w:pPr>
      <w:r w:rsidRPr="002852B3">
        <w:rPr>
          <w:b/>
          <w:lang w:val="en-CA"/>
        </w:rPr>
        <w:t xml:space="preserve">Fitness to </w:t>
      </w:r>
      <w:r w:rsidR="003050FE">
        <w:rPr>
          <w:b/>
          <w:lang w:val="en-CA"/>
        </w:rPr>
        <w:t>P</w:t>
      </w:r>
      <w:r w:rsidRPr="002852B3">
        <w:rPr>
          <w:b/>
          <w:lang w:val="en-CA"/>
        </w:rPr>
        <w:t>racti</w:t>
      </w:r>
      <w:r w:rsidR="006A7B8C">
        <w:rPr>
          <w:b/>
          <w:lang w:val="en-CA"/>
        </w:rPr>
        <w:t>c</w:t>
      </w:r>
      <w:r w:rsidR="00DA48EB" w:rsidRPr="002852B3">
        <w:rPr>
          <w:b/>
          <w:lang w:val="en-CA"/>
        </w:rPr>
        <w:t>e</w:t>
      </w:r>
      <w:r w:rsidR="00BD7BB4" w:rsidRPr="002852B3">
        <w:rPr>
          <w:b/>
          <w:lang w:val="en-CA"/>
        </w:rPr>
        <w:t xml:space="preserve"> (FTP</w:t>
      </w:r>
      <w:r w:rsidR="006A7B8C">
        <w:rPr>
          <w:b/>
          <w:lang w:val="en-CA"/>
        </w:rPr>
        <w:t>):</w:t>
      </w:r>
      <w:r w:rsidRPr="002852B3">
        <w:rPr>
          <w:lang w:val="en-CA"/>
        </w:rPr>
        <w:t xml:space="preserve"> “all the qualities and capabilities of an individual relevant to </w:t>
      </w:r>
      <w:r w:rsidR="006A7B8C">
        <w:rPr>
          <w:lang w:val="en-CA"/>
        </w:rPr>
        <w:t>their</w:t>
      </w:r>
      <w:r w:rsidRPr="002852B3">
        <w:rPr>
          <w:lang w:val="en-CA"/>
        </w:rPr>
        <w:t xml:space="preserve"> practi</w:t>
      </w:r>
      <w:r w:rsidR="006A7B8C">
        <w:rPr>
          <w:lang w:val="en-CA"/>
        </w:rPr>
        <w:t>c</w:t>
      </w:r>
      <w:r w:rsidRPr="002852B3">
        <w:rPr>
          <w:lang w:val="en-CA"/>
        </w:rPr>
        <w:t xml:space="preserve">e as a </w:t>
      </w:r>
      <w:r w:rsidR="006A7B8C">
        <w:rPr>
          <w:lang w:val="en-CA"/>
        </w:rPr>
        <w:t>n</w:t>
      </w:r>
      <w:r w:rsidRPr="002852B3">
        <w:rPr>
          <w:lang w:val="en-CA"/>
        </w:rPr>
        <w:t xml:space="preserve">urse, including but not limited to freedom from any cognitive, physical, psychological or emotional condition and dependence on alcohol or drugs that impairs </w:t>
      </w:r>
      <w:r w:rsidR="006A7B8C">
        <w:rPr>
          <w:lang w:val="en-CA"/>
        </w:rPr>
        <w:t xml:space="preserve">their </w:t>
      </w:r>
      <w:r w:rsidRPr="002852B3">
        <w:rPr>
          <w:lang w:val="en-CA"/>
        </w:rPr>
        <w:t>ability to practise nursing</w:t>
      </w:r>
      <w:r w:rsidR="00A63A30" w:rsidRPr="002852B3">
        <w:rPr>
          <w:lang w:val="en-CA"/>
        </w:rPr>
        <w:t xml:space="preserve">” </w:t>
      </w:r>
      <w:r w:rsidR="00A63A30">
        <w:rPr>
          <w:lang w:val="en-CA"/>
        </w:rPr>
        <w:t>(</w:t>
      </w:r>
      <w:r w:rsidR="006A7B8C">
        <w:rPr>
          <w:lang w:val="en-CA"/>
        </w:rPr>
        <w:t xml:space="preserve">CNA, 2017, </w:t>
      </w:r>
      <w:r w:rsidR="00D76687">
        <w:rPr>
          <w:lang w:val="en-CA"/>
        </w:rPr>
        <w:t>p.</w:t>
      </w:r>
      <w:r w:rsidR="006A7B8C">
        <w:rPr>
          <w:lang w:val="en-CA"/>
        </w:rPr>
        <w:t xml:space="preserve"> </w:t>
      </w:r>
      <w:r w:rsidR="00D76687">
        <w:rPr>
          <w:lang w:val="en-CA"/>
        </w:rPr>
        <w:t>22</w:t>
      </w:r>
      <w:r w:rsidRPr="002852B3">
        <w:rPr>
          <w:lang w:val="en-CA"/>
        </w:rPr>
        <w:t xml:space="preserve">). </w:t>
      </w:r>
      <w:r w:rsidR="00653DE6">
        <w:rPr>
          <w:lang w:val="en-CA"/>
        </w:rPr>
        <w:t xml:space="preserve">This means that the person must be capable of safe and effective practice. </w:t>
      </w:r>
      <w:r w:rsidR="00D76687">
        <w:rPr>
          <w:lang w:val="en-CA"/>
        </w:rPr>
        <w:t xml:space="preserve">However, </w:t>
      </w:r>
      <w:r w:rsidR="00653DE6">
        <w:rPr>
          <w:lang w:val="en-CA"/>
        </w:rPr>
        <w:t xml:space="preserve">it does </w:t>
      </w:r>
      <w:r w:rsidRPr="002852B3">
        <w:rPr>
          <w:lang w:val="en-CA"/>
        </w:rPr>
        <w:t xml:space="preserve">NOT mean that </w:t>
      </w:r>
      <w:r w:rsidR="00653DE6">
        <w:rPr>
          <w:lang w:val="en-CA"/>
        </w:rPr>
        <w:t xml:space="preserve">a person must be free of any or all </w:t>
      </w:r>
      <w:r w:rsidRPr="002852B3">
        <w:rPr>
          <w:lang w:val="en-CA"/>
        </w:rPr>
        <w:t>health conditions, concerns</w:t>
      </w:r>
      <w:r w:rsidR="00653DE6">
        <w:rPr>
          <w:lang w:val="en-CA"/>
        </w:rPr>
        <w:t>,</w:t>
      </w:r>
      <w:r w:rsidRPr="002852B3">
        <w:rPr>
          <w:lang w:val="en-CA"/>
        </w:rPr>
        <w:t xml:space="preserve"> or disabilities</w:t>
      </w:r>
      <w:r w:rsidR="00653DE6">
        <w:rPr>
          <w:lang w:val="en-CA"/>
        </w:rPr>
        <w:t xml:space="preserve"> </w:t>
      </w:r>
      <w:r w:rsidR="003050FE">
        <w:rPr>
          <w:noProof/>
        </w:rPr>
        <w:t>(MacLaren, Haycock-Stuart, McLachlan, &amp; James, 2016)</w:t>
      </w:r>
      <w:r w:rsidRPr="002852B3">
        <w:rPr>
          <w:lang w:val="en-CA"/>
        </w:rPr>
        <w:t xml:space="preserve">. </w:t>
      </w:r>
    </w:p>
    <w:p w14:paraId="030D647E" w14:textId="77777777" w:rsidR="00797F80" w:rsidRDefault="00655E44" w:rsidP="00797F80">
      <w:pPr>
        <w:rPr>
          <w:lang w:val="en-CA"/>
        </w:rPr>
      </w:pPr>
      <w:r w:rsidRPr="00797F80">
        <w:rPr>
          <w:b/>
          <w:lang w:val="en-CA"/>
        </w:rPr>
        <w:t xml:space="preserve">FTP </w:t>
      </w:r>
      <w:r w:rsidR="00954EBC">
        <w:rPr>
          <w:b/>
          <w:lang w:val="en-CA"/>
        </w:rPr>
        <w:t xml:space="preserve">Occupational Health </w:t>
      </w:r>
      <w:r w:rsidR="003050FE">
        <w:rPr>
          <w:b/>
          <w:lang w:val="en-CA"/>
        </w:rPr>
        <w:t>A</w:t>
      </w:r>
      <w:r w:rsidR="00DA48EB" w:rsidRPr="00797F80">
        <w:rPr>
          <w:b/>
          <w:lang w:val="en-CA"/>
        </w:rPr>
        <w:t>ssessment</w:t>
      </w:r>
      <w:r w:rsidR="001F4066">
        <w:rPr>
          <w:b/>
          <w:lang w:val="en-CA"/>
        </w:rPr>
        <w:t xml:space="preserve"> (FTP-OHA)</w:t>
      </w:r>
      <w:r w:rsidR="00DA48EB" w:rsidRPr="00797F80">
        <w:rPr>
          <w:b/>
          <w:lang w:val="en-CA"/>
        </w:rPr>
        <w:t>:</w:t>
      </w:r>
      <w:r w:rsidR="00797F80">
        <w:rPr>
          <w:lang w:val="en-CA"/>
        </w:rPr>
        <w:t xml:space="preserve"> an assessment undertaken by a qualified, regulated health care professional to determine </w:t>
      </w:r>
      <w:r w:rsidR="00011347">
        <w:rPr>
          <w:lang w:val="en-CA"/>
        </w:rPr>
        <w:t>the presence of any</w:t>
      </w:r>
      <w:r w:rsidR="00797F80">
        <w:rPr>
          <w:lang w:val="en-CA"/>
        </w:rPr>
        <w:t xml:space="preserve"> limitations </w:t>
      </w:r>
      <w:r w:rsidR="00011347">
        <w:rPr>
          <w:lang w:val="en-CA"/>
        </w:rPr>
        <w:t xml:space="preserve">or </w:t>
      </w:r>
      <w:r w:rsidR="00797F80">
        <w:rPr>
          <w:lang w:val="en-CA"/>
        </w:rPr>
        <w:t xml:space="preserve">restrictions </w:t>
      </w:r>
      <w:r w:rsidR="00011347">
        <w:rPr>
          <w:lang w:val="en-CA"/>
        </w:rPr>
        <w:t>to practice</w:t>
      </w:r>
      <w:r w:rsidR="00954EBC">
        <w:rPr>
          <w:lang w:val="en-CA"/>
        </w:rPr>
        <w:t>,</w:t>
      </w:r>
      <w:r w:rsidR="003309E2">
        <w:rPr>
          <w:lang w:val="en-CA"/>
        </w:rPr>
        <w:t xml:space="preserve"> as well as</w:t>
      </w:r>
      <w:r w:rsidR="00797F80">
        <w:rPr>
          <w:lang w:val="en-CA"/>
        </w:rPr>
        <w:t xml:space="preserve"> the need for </w:t>
      </w:r>
      <w:r w:rsidR="00011347">
        <w:rPr>
          <w:lang w:val="en-CA"/>
        </w:rPr>
        <w:t xml:space="preserve">any </w:t>
      </w:r>
      <w:r w:rsidR="00954EBC">
        <w:rPr>
          <w:lang w:val="en-CA"/>
        </w:rPr>
        <w:t xml:space="preserve">practice </w:t>
      </w:r>
      <w:r w:rsidR="00797F80">
        <w:rPr>
          <w:lang w:val="en-CA"/>
        </w:rPr>
        <w:t>accommodation</w:t>
      </w:r>
      <w:r w:rsidR="00011347">
        <w:rPr>
          <w:lang w:val="en-CA"/>
        </w:rPr>
        <w:t>s,</w:t>
      </w:r>
      <w:r w:rsidR="00797F80">
        <w:rPr>
          <w:lang w:val="en-CA"/>
        </w:rPr>
        <w:t xml:space="preserve"> based on the specific </w:t>
      </w:r>
      <w:r w:rsidR="00011347">
        <w:rPr>
          <w:lang w:val="en-CA"/>
        </w:rPr>
        <w:t>FTP concern. The FTP assessment will also consider any o</w:t>
      </w:r>
      <w:r w:rsidR="00797F80">
        <w:rPr>
          <w:lang w:val="en-CA"/>
        </w:rPr>
        <w:t>ccupational health requirements, the specific characteristics of the practice environment, the safety of all</w:t>
      </w:r>
      <w:r w:rsidR="00954EBC">
        <w:rPr>
          <w:lang w:val="en-CA"/>
        </w:rPr>
        <w:t xml:space="preserve"> individuals</w:t>
      </w:r>
      <w:r w:rsidR="00797F80">
        <w:rPr>
          <w:lang w:val="en-CA"/>
        </w:rPr>
        <w:t xml:space="preserve"> in the practice setting, and the academi</w:t>
      </w:r>
      <w:r w:rsidR="00823B44">
        <w:rPr>
          <w:lang w:val="en-CA"/>
        </w:rPr>
        <w:t>c requirements of the placement (A</w:t>
      </w:r>
      <w:r w:rsidR="001F6E37">
        <w:rPr>
          <w:lang w:val="en-CA"/>
        </w:rPr>
        <w:t xml:space="preserve">lberta </w:t>
      </w:r>
      <w:r w:rsidR="00823B44">
        <w:rPr>
          <w:lang w:val="en-CA"/>
        </w:rPr>
        <w:t>H</w:t>
      </w:r>
      <w:r w:rsidR="001F6E37">
        <w:rPr>
          <w:lang w:val="en-CA"/>
        </w:rPr>
        <w:t xml:space="preserve">ealth </w:t>
      </w:r>
      <w:r w:rsidR="00823B44">
        <w:rPr>
          <w:lang w:val="en-CA"/>
        </w:rPr>
        <w:t>S</w:t>
      </w:r>
      <w:r w:rsidR="001F6E37">
        <w:rPr>
          <w:lang w:val="en-CA"/>
        </w:rPr>
        <w:t>ervices</w:t>
      </w:r>
      <w:r w:rsidR="00823B44">
        <w:rPr>
          <w:lang w:val="en-CA"/>
        </w:rPr>
        <w:t>, 2015)</w:t>
      </w:r>
      <w:r w:rsidR="00011347">
        <w:rPr>
          <w:lang w:val="en-CA"/>
        </w:rPr>
        <w:t>.</w:t>
      </w:r>
    </w:p>
    <w:p w14:paraId="33D4F64A" w14:textId="77777777" w:rsidR="00DA48EB" w:rsidRDefault="00DA48EB" w:rsidP="00797F80">
      <w:pPr>
        <w:rPr>
          <w:lang w:val="en-CA"/>
        </w:rPr>
      </w:pPr>
      <w:r w:rsidRPr="00797F80">
        <w:rPr>
          <w:b/>
          <w:lang w:val="en-CA"/>
        </w:rPr>
        <w:t>Accommodation:</w:t>
      </w:r>
      <w:r w:rsidR="00797F80">
        <w:rPr>
          <w:lang w:val="en-CA"/>
        </w:rPr>
        <w:t xml:space="preserve"> </w:t>
      </w:r>
      <w:r w:rsidR="001F6E37">
        <w:rPr>
          <w:lang w:val="en-CA"/>
        </w:rPr>
        <w:t xml:space="preserve">“means making changes </w:t>
      </w:r>
      <w:r w:rsidR="00F26BFF">
        <w:rPr>
          <w:lang w:val="en-CA"/>
        </w:rPr>
        <w:t>to</w:t>
      </w:r>
      <w:r w:rsidR="00797F80">
        <w:rPr>
          <w:lang w:val="en-CA"/>
        </w:rPr>
        <w:t xml:space="preserve"> certain rules, standards, policies, workplace cultures and physical environments to ensure that they don’t have a negative effect on a person because of the person’s mental or physical disability, religion, gender or any other protected ground</w:t>
      </w:r>
      <w:r w:rsidR="001F6E37">
        <w:rPr>
          <w:lang w:val="en-CA"/>
        </w:rPr>
        <w:t>”</w:t>
      </w:r>
      <w:r w:rsidR="00BF0994">
        <w:rPr>
          <w:lang w:val="en-CA"/>
        </w:rPr>
        <w:t xml:space="preserve"> </w:t>
      </w:r>
      <w:r w:rsidR="00BF0994">
        <w:rPr>
          <w:noProof/>
        </w:rPr>
        <w:t>(Alberta Human Rights Commission, 2010)</w:t>
      </w:r>
      <w:r w:rsidR="00797F80">
        <w:rPr>
          <w:lang w:val="en-CA"/>
        </w:rPr>
        <w:t xml:space="preserve">. This may include </w:t>
      </w:r>
      <w:r w:rsidR="00F26BFF">
        <w:rPr>
          <w:lang w:val="en-CA"/>
        </w:rPr>
        <w:t>modifications</w:t>
      </w:r>
      <w:r w:rsidR="00797F80">
        <w:rPr>
          <w:lang w:val="en-CA"/>
        </w:rPr>
        <w:t xml:space="preserve"> to </w:t>
      </w:r>
      <w:r w:rsidR="00BF0994">
        <w:rPr>
          <w:lang w:val="en-CA"/>
        </w:rPr>
        <w:t xml:space="preserve">student </w:t>
      </w:r>
      <w:r w:rsidR="00797F80">
        <w:rPr>
          <w:lang w:val="en-CA"/>
        </w:rPr>
        <w:t>duties and activit</w:t>
      </w:r>
      <w:r w:rsidR="00F26BFF">
        <w:rPr>
          <w:lang w:val="en-CA"/>
        </w:rPr>
        <w:t xml:space="preserve">ies </w:t>
      </w:r>
      <w:r w:rsidR="00797F80">
        <w:rPr>
          <w:lang w:val="en-CA"/>
        </w:rPr>
        <w:t xml:space="preserve">in order to allow a person to participate meaningfully in a </w:t>
      </w:r>
      <w:r w:rsidR="00BF0994">
        <w:rPr>
          <w:lang w:val="en-CA"/>
        </w:rPr>
        <w:t xml:space="preserve">practice </w:t>
      </w:r>
      <w:r w:rsidR="00797F80">
        <w:rPr>
          <w:lang w:val="en-CA"/>
        </w:rPr>
        <w:t>placement</w:t>
      </w:r>
      <w:r w:rsidR="00797F80" w:rsidRPr="00F27C52">
        <w:rPr>
          <w:lang w:val="en-CA"/>
        </w:rPr>
        <w:t>.</w:t>
      </w:r>
      <w:r w:rsidR="00F26BFF" w:rsidRPr="00F27C52">
        <w:t xml:space="preserve"> </w:t>
      </w:r>
    </w:p>
    <w:p w14:paraId="0BF9376D" w14:textId="154B0E66" w:rsidR="00B10D75" w:rsidRPr="00B10D75" w:rsidRDefault="00B10D75" w:rsidP="00797F80">
      <w:pPr>
        <w:rPr>
          <w:b/>
          <w:lang w:val="en-CA"/>
        </w:rPr>
      </w:pPr>
      <w:r w:rsidRPr="00B10D75">
        <w:rPr>
          <w:b/>
          <w:lang w:val="en-CA"/>
        </w:rPr>
        <w:t>Duty to accommodate:</w:t>
      </w:r>
      <w:r w:rsidR="00A9336D">
        <w:rPr>
          <w:b/>
          <w:lang w:val="en-CA"/>
        </w:rPr>
        <w:t xml:space="preserve"> </w:t>
      </w:r>
      <w:r w:rsidR="00BF0994">
        <w:rPr>
          <w:lang w:val="en-CA"/>
        </w:rPr>
        <w:t>the legal duty of employers, business owners, public service providers, educational institutions, professional associations and so on to accommodate a person’s needs</w:t>
      </w:r>
      <w:r w:rsidR="00500E5C">
        <w:rPr>
          <w:lang w:val="en-CA"/>
        </w:rPr>
        <w:t>, unless such accommodations will cause undue hardship,</w:t>
      </w:r>
      <w:r w:rsidR="00BF0994">
        <w:rPr>
          <w:lang w:val="en-CA"/>
        </w:rPr>
        <w:t xml:space="preserve"> based on legally protected grounds according to federal and provincial human rights law and legislation</w:t>
      </w:r>
      <w:r w:rsidR="00500E5C">
        <w:rPr>
          <w:lang w:val="en-CA"/>
        </w:rPr>
        <w:t xml:space="preserve"> </w:t>
      </w:r>
      <w:r w:rsidR="001B10FE">
        <w:rPr>
          <w:noProof/>
        </w:rPr>
        <w:t>(Alberta Human Rights Commission, 2010)</w:t>
      </w:r>
      <w:r w:rsidR="00BF0994">
        <w:rPr>
          <w:lang w:val="en-CA"/>
        </w:rPr>
        <w:t>. For a list of legally protected grounds, see</w:t>
      </w:r>
      <w:r w:rsidR="00BA2E33">
        <w:rPr>
          <w:lang w:val="en-CA"/>
        </w:rPr>
        <w:t xml:space="preserve">: </w:t>
      </w:r>
      <w:hyperlink r:id="rId9" w:history="1">
        <w:r w:rsidR="00BA2E33" w:rsidRPr="00DF504C">
          <w:rPr>
            <w:rStyle w:val="Hyperlink"/>
            <w:lang w:val="en-CA"/>
          </w:rPr>
          <w:t>https://www.albertahumanrights.ab.ca/publications/bulletins_sheets_booklets/sheets/history_and_info/Pages/protected_areas_grounds.aspx</w:t>
        </w:r>
      </w:hyperlink>
      <w:r w:rsidR="00500E5C">
        <w:rPr>
          <w:lang w:val="en-CA"/>
        </w:rPr>
        <w:t>.</w:t>
      </w:r>
      <w:r w:rsidR="00BF0994">
        <w:rPr>
          <w:lang w:val="en-CA"/>
        </w:rPr>
        <w:t xml:space="preserve"> </w:t>
      </w:r>
    </w:p>
    <w:p w14:paraId="72D00019" w14:textId="77777777" w:rsidR="001B542B" w:rsidRDefault="001B542B" w:rsidP="00BC5B87">
      <w:pPr>
        <w:spacing w:after="0"/>
        <w:rPr>
          <w:lang w:val="en-CA"/>
        </w:rPr>
      </w:pPr>
      <w:r w:rsidRPr="00797F80">
        <w:rPr>
          <w:b/>
          <w:lang w:val="en-CA"/>
        </w:rPr>
        <w:t>Undue hardship:</w:t>
      </w:r>
      <w:r w:rsidR="00797F80">
        <w:rPr>
          <w:lang w:val="en-CA"/>
        </w:rPr>
        <w:t xml:space="preserve"> </w:t>
      </w:r>
      <w:r w:rsidR="00500E5C">
        <w:rPr>
          <w:lang w:val="en-CA"/>
        </w:rPr>
        <w:t>the</w:t>
      </w:r>
      <w:r w:rsidR="00797F80">
        <w:rPr>
          <w:lang w:val="en-CA"/>
        </w:rPr>
        <w:t xml:space="preserve"> excessive or onerous conditions placed on an organization’s operation</w:t>
      </w:r>
      <w:r w:rsidR="00500E5C">
        <w:rPr>
          <w:lang w:val="en-CA"/>
        </w:rPr>
        <w:t>s</w:t>
      </w:r>
      <w:r w:rsidR="00797F80">
        <w:rPr>
          <w:lang w:val="en-CA"/>
        </w:rPr>
        <w:t xml:space="preserve"> as a result of an accommodation</w:t>
      </w:r>
      <w:r w:rsidR="00500E5C">
        <w:rPr>
          <w:lang w:val="en-CA"/>
        </w:rPr>
        <w:t xml:space="preserve"> </w:t>
      </w:r>
      <w:r w:rsidR="001B10FE">
        <w:rPr>
          <w:noProof/>
        </w:rPr>
        <w:t>(Alberta Human Rights Commission, 2010)</w:t>
      </w:r>
      <w:r w:rsidR="00797F80">
        <w:rPr>
          <w:lang w:val="en-CA"/>
        </w:rPr>
        <w:t xml:space="preserve">. Undue hardship is determined by reviewing </w:t>
      </w:r>
      <w:r w:rsidR="00500E5C">
        <w:rPr>
          <w:lang w:val="en-CA"/>
        </w:rPr>
        <w:t xml:space="preserve">the </w:t>
      </w:r>
      <w:r w:rsidR="00797F80">
        <w:rPr>
          <w:lang w:val="en-CA"/>
        </w:rPr>
        <w:t>costs</w:t>
      </w:r>
      <w:r w:rsidR="00500E5C">
        <w:rPr>
          <w:lang w:val="en-CA"/>
        </w:rPr>
        <w:t xml:space="preserve"> involved in providing the accommodation</w:t>
      </w:r>
      <w:r w:rsidR="00797F80">
        <w:rPr>
          <w:lang w:val="en-CA"/>
        </w:rPr>
        <w:t xml:space="preserve">, </w:t>
      </w:r>
      <w:r w:rsidR="00500E5C">
        <w:rPr>
          <w:lang w:val="en-CA"/>
        </w:rPr>
        <w:t xml:space="preserve">the feasibility of the accommodation for both </w:t>
      </w:r>
      <w:r w:rsidR="001F4066">
        <w:rPr>
          <w:lang w:val="en-CA"/>
        </w:rPr>
        <w:t>the educational institution</w:t>
      </w:r>
      <w:r w:rsidR="00500E5C">
        <w:rPr>
          <w:lang w:val="en-CA"/>
        </w:rPr>
        <w:t xml:space="preserve"> and the practice site</w:t>
      </w:r>
      <w:r w:rsidR="00797F80">
        <w:rPr>
          <w:lang w:val="en-CA"/>
        </w:rPr>
        <w:t xml:space="preserve">, </w:t>
      </w:r>
      <w:r w:rsidR="00500E5C">
        <w:rPr>
          <w:lang w:val="en-CA"/>
        </w:rPr>
        <w:t xml:space="preserve">the degree of </w:t>
      </w:r>
      <w:r w:rsidR="00797F80">
        <w:rPr>
          <w:lang w:val="en-CA"/>
        </w:rPr>
        <w:t xml:space="preserve">disruption </w:t>
      </w:r>
      <w:r w:rsidR="00500E5C">
        <w:rPr>
          <w:lang w:val="en-CA"/>
        </w:rPr>
        <w:t xml:space="preserve">to normal </w:t>
      </w:r>
      <w:r w:rsidR="00797F80">
        <w:rPr>
          <w:lang w:val="en-CA"/>
        </w:rPr>
        <w:t>operations, and</w:t>
      </w:r>
      <w:r w:rsidR="00500E5C">
        <w:rPr>
          <w:lang w:val="en-CA"/>
        </w:rPr>
        <w:t xml:space="preserve"> whether</w:t>
      </w:r>
      <w:r w:rsidR="00797F80">
        <w:rPr>
          <w:lang w:val="en-CA"/>
        </w:rPr>
        <w:t xml:space="preserve"> substantial interference with the rights of other employees or students</w:t>
      </w:r>
      <w:r w:rsidR="00500E5C">
        <w:rPr>
          <w:lang w:val="en-CA"/>
        </w:rPr>
        <w:t xml:space="preserve"> will result from making the accommodation. Also included are </w:t>
      </w:r>
      <w:r w:rsidR="00797F80">
        <w:rPr>
          <w:lang w:val="en-CA"/>
        </w:rPr>
        <w:t xml:space="preserve">workforce and facility factors, </w:t>
      </w:r>
      <w:r w:rsidR="00500E5C">
        <w:rPr>
          <w:lang w:val="en-CA"/>
        </w:rPr>
        <w:t>as well as</w:t>
      </w:r>
      <w:r w:rsidR="00797F80">
        <w:rPr>
          <w:lang w:val="en-CA"/>
        </w:rPr>
        <w:t xml:space="preserve"> health and safety concerns.</w:t>
      </w:r>
    </w:p>
    <w:p w14:paraId="30A0C56E" w14:textId="77777777" w:rsidR="00B10D75" w:rsidRDefault="00B10D75" w:rsidP="00BC5B87">
      <w:pPr>
        <w:spacing w:after="0"/>
        <w:rPr>
          <w:lang w:val="en-CA"/>
        </w:rPr>
      </w:pPr>
    </w:p>
    <w:p w14:paraId="284B6D19" w14:textId="64BF0FF7" w:rsidR="003309E2" w:rsidRDefault="00BD7BB4" w:rsidP="00944659">
      <w:pPr>
        <w:spacing w:after="0"/>
        <w:rPr>
          <w:lang w:val="en-CA"/>
        </w:rPr>
      </w:pPr>
      <w:r w:rsidRPr="00BC5B87">
        <w:rPr>
          <w:b/>
          <w:lang w:val="en-CA"/>
        </w:rPr>
        <w:t>Self-care:</w:t>
      </w:r>
      <w:r>
        <w:rPr>
          <w:lang w:val="en-CA"/>
        </w:rPr>
        <w:t xml:space="preserve"> The practice of taking an active role in protecting one’s own health and well-being, particularly during periods of stress (Oxford Living Dictionary</w:t>
      </w:r>
      <w:r w:rsidR="00E44A1B">
        <w:rPr>
          <w:lang w:val="en-CA"/>
        </w:rPr>
        <w:t>, 2018</w:t>
      </w:r>
      <w:r>
        <w:rPr>
          <w:lang w:val="en-CA"/>
        </w:rPr>
        <w:t>)</w:t>
      </w:r>
      <w:r w:rsidR="00E44A1B">
        <w:rPr>
          <w:lang w:val="en-CA"/>
        </w:rPr>
        <w:t>.</w:t>
      </w:r>
    </w:p>
    <w:p w14:paraId="70A51A8A" w14:textId="77777777" w:rsidR="00B10D75" w:rsidRDefault="00B10D75" w:rsidP="00944659">
      <w:pPr>
        <w:spacing w:after="0"/>
        <w:rPr>
          <w:lang w:val="en-CA"/>
        </w:rPr>
      </w:pPr>
    </w:p>
    <w:p w14:paraId="08F824C2" w14:textId="77777777" w:rsidR="000C6769" w:rsidRPr="00D24B91" w:rsidRDefault="002F7A57" w:rsidP="00D24B91">
      <w:pPr>
        <w:pBdr>
          <w:bottom w:val="single" w:sz="4" w:space="1" w:color="auto"/>
        </w:pBdr>
        <w:rPr>
          <w:b/>
          <w:lang w:val="en-CA"/>
        </w:rPr>
      </w:pPr>
      <w:r>
        <w:rPr>
          <w:b/>
          <w:lang w:val="en-CA"/>
        </w:rPr>
        <w:t>POLICY SCOPE</w:t>
      </w:r>
      <w:r w:rsidR="00993AC4">
        <w:rPr>
          <w:b/>
          <w:lang w:val="en-CA"/>
        </w:rPr>
        <w:t>:</w:t>
      </w:r>
    </w:p>
    <w:p w14:paraId="48EF95B0" w14:textId="10D45D16" w:rsidR="00E44A1B" w:rsidRPr="00BA2E33" w:rsidRDefault="003309E2" w:rsidP="00E44A1B">
      <w:pPr>
        <w:rPr>
          <w:lang w:val="en-CA"/>
        </w:rPr>
      </w:pPr>
      <w:r w:rsidRPr="00A9336D">
        <w:rPr>
          <w:lang w:val="en-CA"/>
        </w:rPr>
        <w:t>This policy applies to all students</w:t>
      </w:r>
      <w:r>
        <w:rPr>
          <w:lang w:val="en-CA"/>
        </w:rPr>
        <w:t xml:space="preserve"> </w:t>
      </w:r>
      <w:r w:rsidRPr="00A9336D">
        <w:rPr>
          <w:lang w:val="en-CA"/>
        </w:rPr>
        <w:t xml:space="preserve">in the NESA BN Programs engaged in </w:t>
      </w:r>
      <w:r>
        <w:rPr>
          <w:lang w:val="en-CA"/>
        </w:rPr>
        <w:t xml:space="preserve">teaching and </w:t>
      </w:r>
      <w:r w:rsidRPr="00A9336D">
        <w:rPr>
          <w:lang w:val="en-CA"/>
        </w:rPr>
        <w:t>learning</w:t>
      </w:r>
      <w:r>
        <w:rPr>
          <w:lang w:val="en-CA"/>
        </w:rPr>
        <w:t xml:space="preserve"> activities</w:t>
      </w:r>
      <w:r w:rsidRPr="00A9336D">
        <w:rPr>
          <w:lang w:val="en-CA"/>
        </w:rPr>
        <w:t xml:space="preserve"> </w:t>
      </w:r>
      <w:r w:rsidRPr="00A9336D">
        <w:rPr>
          <w:i/>
          <w:lang w:val="en-CA"/>
        </w:rPr>
        <w:t xml:space="preserve">in </w:t>
      </w:r>
      <w:proofErr w:type="gramStart"/>
      <w:r w:rsidRPr="00A9336D">
        <w:rPr>
          <w:i/>
          <w:lang w:val="en-CA"/>
        </w:rPr>
        <w:t>any</w:t>
      </w:r>
      <w:r>
        <w:rPr>
          <w:i/>
          <w:lang w:val="en-CA"/>
        </w:rPr>
        <w:t xml:space="preserve"> and all</w:t>
      </w:r>
      <w:proofErr w:type="gramEnd"/>
      <w:r w:rsidRPr="00A9336D">
        <w:rPr>
          <w:i/>
          <w:lang w:val="en-CA"/>
        </w:rPr>
        <w:t xml:space="preserve"> practice environment</w:t>
      </w:r>
      <w:r>
        <w:rPr>
          <w:i/>
          <w:lang w:val="en-CA"/>
        </w:rPr>
        <w:t>s</w:t>
      </w:r>
      <w:r w:rsidRPr="00A9336D">
        <w:rPr>
          <w:lang w:val="en-CA"/>
        </w:rPr>
        <w:t>.</w:t>
      </w:r>
      <w:r>
        <w:rPr>
          <w:lang w:val="en-CA"/>
        </w:rPr>
        <w:t xml:space="preserve"> </w:t>
      </w:r>
    </w:p>
    <w:p w14:paraId="2A4E5D07" w14:textId="77777777" w:rsidR="006F5E3D" w:rsidRPr="00D24B91" w:rsidRDefault="00993AC4" w:rsidP="00D24B91">
      <w:pPr>
        <w:pBdr>
          <w:bottom w:val="single" w:sz="4" w:space="1" w:color="auto"/>
        </w:pBdr>
        <w:rPr>
          <w:b/>
          <w:lang w:val="en-CA"/>
        </w:rPr>
      </w:pPr>
      <w:r>
        <w:rPr>
          <w:b/>
          <w:lang w:val="en-CA"/>
        </w:rPr>
        <w:t>POLICY STATEMENT(S):</w:t>
      </w:r>
    </w:p>
    <w:p w14:paraId="1B539216" w14:textId="77777777" w:rsidR="00515020" w:rsidRDefault="00B00203" w:rsidP="009A21FA">
      <w:pPr>
        <w:pStyle w:val="ListParagraph"/>
        <w:numPr>
          <w:ilvl w:val="0"/>
          <w:numId w:val="13"/>
        </w:numPr>
        <w:rPr>
          <w:lang w:val="en-CA"/>
        </w:rPr>
      </w:pPr>
      <w:r>
        <w:rPr>
          <w:lang w:val="en-CA"/>
        </w:rPr>
        <w:t xml:space="preserve">Nursing is a highly trusted, self-regulated profession. </w:t>
      </w:r>
      <w:r w:rsidR="003E1F0C">
        <w:rPr>
          <w:lang w:val="en-CA"/>
        </w:rPr>
        <w:t>R</w:t>
      </w:r>
      <w:r>
        <w:rPr>
          <w:lang w:val="en-CA"/>
        </w:rPr>
        <w:t xml:space="preserve">egulation of the profession places the public </w:t>
      </w:r>
      <w:r w:rsidR="003E1F0C">
        <w:rPr>
          <w:lang w:val="en-CA"/>
        </w:rPr>
        <w:t xml:space="preserve">safety and </w:t>
      </w:r>
      <w:r>
        <w:rPr>
          <w:lang w:val="en-CA"/>
        </w:rPr>
        <w:t xml:space="preserve">interest at the forefront. </w:t>
      </w:r>
    </w:p>
    <w:p w14:paraId="701826D6" w14:textId="77777777" w:rsidR="001F4066" w:rsidRDefault="001F4066" w:rsidP="001F4066">
      <w:pPr>
        <w:pStyle w:val="ListParagraph"/>
        <w:numPr>
          <w:ilvl w:val="0"/>
          <w:numId w:val="13"/>
        </w:numPr>
        <w:rPr>
          <w:lang w:val="en-CA"/>
        </w:rPr>
      </w:pPr>
      <w:r>
        <w:rPr>
          <w:lang w:val="en-CA"/>
        </w:rPr>
        <w:t xml:space="preserve">The safety of patients, clients, families, students, faculty members, </w:t>
      </w:r>
      <w:r w:rsidRPr="00B413A8">
        <w:rPr>
          <w:lang w:val="en-CA"/>
        </w:rPr>
        <w:t>instructors</w:t>
      </w:r>
      <w:r>
        <w:rPr>
          <w:lang w:val="en-CA"/>
        </w:rPr>
        <w:t xml:space="preserve"> and staff members in practice sites is of paramount importance. Ensuring student FTP is crucial to providing safe and competent nursing care.</w:t>
      </w:r>
    </w:p>
    <w:p w14:paraId="6996DF91" w14:textId="77777777" w:rsidR="001F4066" w:rsidRDefault="001F4066" w:rsidP="001F4066">
      <w:pPr>
        <w:pStyle w:val="ListParagraph"/>
        <w:numPr>
          <w:ilvl w:val="0"/>
          <w:numId w:val="13"/>
        </w:numPr>
        <w:rPr>
          <w:lang w:val="en-CA"/>
        </w:rPr>
      </w:pPr>
      <w:r w:rsidRPr="00A9336D">
        <w:rPr>
          <w:lang w:val="en-CA"/>
        </w:rPr>
        <w:t>All nurses</w:t>
      </w:r>
      <w:r>
        <w:rPr>
          <w:lang w:val="en-CA"/>
        </w:rPr>
        <w:t xml:space="preserve"> (including student nurses)</w:t>
      </w:r>
      <w:r w:rsidRPr="00A9336D">
        <w:rPr>
          <w:lang w:val="en-CA"/>
        </w:rPr>
        <w:t xml:space="preserve"> are responsible and accountable to maintain and ensure their </w:t>
      </w:r>
      <w:r>
        <w:rPr>
          <w:lang w:val="en-CA"/>
        </w:rPr>
        <w:t>own fitness to practice</w:t>
      </w:r>
      <w:r>
        <w:rPr>
          <w:noProof/>
        </w:rPr>
        <w:t xml:space="preserve">. </w:t>
      </w:r>
      <w:r>
        <w:rPr>
          <w:lang w:val="en-CA"/>
        </w:rPr>
        <w:t>If aware that they do not have the necessary physical, mental, or emotional capacity to practice safely and competently, nurses have the responsibility and ethical duty to withdraw from the provision of care and to take the necessary steps to regain their fitness to practice (CNA, 2017).</w:t>
      </w:r>
    </w:p>
    <w:p w14:paraId="5C0BB962" w14:textId="77777777" w:rsidR="003E1F0C" w:rsidRDefault="001F4066" w:rsidP="003E1F0C">
      <w:pPr>
        <w:pStyle w:val="ListParagraph"/>
        <w:numPr>
          <w:ilvl w:val="0"/>
          <w:numId w:val="13"/>
        </w:numPr>
        <w:rPr>
          <w:lang w:val="en-CA"/>
        </w:rPr>
      </w:pPr>
      <w:r>
        <w:rPr>
          <w:lang w:val="en-CA"/>
        </w:rPr>
        <w:t>I</w:t>
      </w:r>
      <w:r w:rsidR="007D00C7">
        <w:rPr>
          <w:lang w:val="en-CA"/>
        </w:rPr>
        <w:t xml:space="preserve">t is the expectation that all </w:t>
      </w:r>
      <w:r>
        <w:rPr>
          <w:lang w:val="en-CA"/>
        </w:rPr>
        <w:t>students</w:t>
      </w:r>
      <w:r w:rsidR="007D00C7">
        <w:rPr>
          <w:lang w:val="en-CA"/>
        </w:rPr>
        <w:t xml:space="preserve"> will </w:t>
      </w:r>
      <w:r w:rsidR="00472D7B">
        <w:rPr>
          <w:lang w:val="en-CA"/>
        </w:rPr>
        <w:t xml:space="preserve">ensure their own FTP before participating </w:t>
      </w:r>
      <w:r w:rsidR="00472D7B" w:rsidRPr="00472D7B">
        <w:rPr>
          <w:i/>
          <w:lang w:val="en-CA"/>
        </w:rPr>
        <w:t>in any and all practice environments.</w:t>
      </w:r>
      <w:r w:rsidR="00472D7B">
        <w:rPr>
          <w:lang w:val="en-CA"/>
        </w:rPr>
        <w:t xml:space="preserve"> </w:t>
      </w:r>
    </w:p>
    <w:p w14:paraId="48D3BA2B" w14:textId="77777777" w:rsidR="00D75385" w:rsidRDefault="007D00C7" w:rsidP="009A21FA">
      <w:pPr>
        <w:pStyle w:val="ListParagraph"/>
        <w:numPr>
          <w:ilvl w:val="0"/>
          <w:numId w:val="13"/>
        </w:numPr>
        <w:rPr>
          <w:lang w:val="en-CA"/>
        </w:rPr>
      </w:pPr>
      <w:r>
        <w:rPr>
          <w:lang w:val="en-CA"/>
        </w:rPr>
        <w:t>As s</w:t>
      </w:r>
      <w:r w:rsidR="000E70D4" w:rsidRPr="00441238">
        <w:rPr>
          <w:lang w:val="en-CA"/>
        </w:rPr>
        <w:t>tudents are still learning and developing as emerging professionals</w:t>
      </w:r>
      <w:r>
        <w:rPr>
          <w:lang w:val="en-CA"/>
        </w:rPr>
        <w:t>, faculty</w:t>
      </w:r>
      <w:r w:rsidR="00744CCD">
        <w:rPr>
          <w:lang w:val="en-CA"/>
        </w:rPr>
        <w:t xml:space="preserve"> members</w:t>
      </w:r>
      <w:r>
        <w:rPr>
          <w:lang w:val="en-CA"/>
        </w:rPr>
        <w:t xml:space="preserve"> and</w:t>
      </w:r>
      <w:r w:rsidR="00744CCD">
        <w:rPr>
          <w:lang w:val="en-CA"/>
        </w:rPr>
        <w:t>/or</w:t>
      </w:r>
      <w:r>
        <w:rPr>
          <w:lang w:val="en-CA"/>
        </w:rPr>
        <w:t xml:space="preserve"> </w:t>
      </w:r>
      <w:r w:rsidR="00744CCD" w:rsidRPr="00B413A8">
        <w:rPr>
          <w:lang w:val="en-CA"/>
        </w:rPr>
        <w:t xml:space="preserve">practice </w:t>
      </w:r>
      <w:r w:rsidRPr="00B413A8">
        <w:rPr>
          <w:lang w:val="en-CA"/>
        </w:rPr>
        <w:t>instructors</w:t>
      </w:r>
      <w:r>
        <w:rPr>
          <w:lang w:val="en-CA"/>
        </w:rPr>
        <w:t xml:space="preserve"> may need to assist students in recognizing, reporting, and addressing their fitness to practice </w:t>
      </w:r>
      <w:r w:rsidR="00744CCD">
        <w:rPr>
          <w:lang w:val="en-CA"/>
        </w:rPr>
        <w:t xml:space="preserve">issues or </w:t>
      </w:r>
      <w:r>
        <w:rPr>
          <w:lang w:val="en-CA"/>
        </w:rPr>
        <w:t>concerns</w:t>
      </w:r>
      <w:r w:rsidR="000E70D4" w:rsidRPr="00441238">
        <w:rPr>
          <w:lang w:val="en-CA"/>
        </w:rPr>
        <w:t xml:space="preserve">. </w:t>
      </w:r>
      <w:r>
        <w:rPr>
          <w:lang w:val="en-CA"/>
        </w:rPr>
        <w:t xml:space="preserve">This requires </w:t>
      </w:r>
      <w:r w:rsidR="000E70D4" w:rsidRPr="00441238">
        <w:rPr>
          <w:lang w:val="en-CA"/>
        </w:rPr>
        <w:t>careful</w:t>
      </w:r>
      <w:r>
        <w:rPr>
          <w:lang w:val="en-CA"/>
        </w:rPr>
        <w:t>,</w:t>
      </w:r>
      <w:r w:rsidR="000E70D4" w:rsidRPr="00441238">
        <w:rPr>
          <w:lang w:val="en-CA"/>
        </w:rPr>
        <w:t xml:space="preserve"> context-sensitive judgment and fairness </w:t>
      </w:r>
      <w:r>
        <w:rPr>
          <w:lang w:val="en-CA"/>
        </w:rPr>
        <w:t xml:space="preserve">when helping students be </w:t>
      </w:r>
      <w:r w:rsidR="000E70D4" w:rsidRPr="00441238">
        <w:rPr>
          <w:lang w:val="en-CA"/>
        </w:rPr>
        <w:t>accountable to FTP requirements</w:t>
      </w:r>
      <w:r>
        <w:rPr>
          <w:lang w:val="en-CA"/>
        </w:rPr>
        <w:t>.</w:t>
      </w:r>
      <w:r w:rsidR="000E70D4" w:rsidRPr="00441238">
        <w:rPr>
          <w:lang w:val="en-CA"/>
        </w:rPr>
        <w:t xml:space="preserve"> </w:t>
      </w:r>
    </w:p>
    <w:p w14:paraId="7D99EE17" w14:textId="77777777" w:rsidR="006B545D" w:rsidRDefault="00472D7B" w:rsidP="00B00203">
      <w:pPr>
        <w:pStyle w:val="ListParagraph"/>
        <w:numPr>
          <w:ilvl w:val="0"/>
          <w:numId w:val="13"/>
        </w:numPr>
        <w:rPr>
          <w:lang w:val="en-CA"/>
        </w:rPr>
      </w:pPr>
      <w:r>
        <w:rPr>
          <w:lang w:val="en-CA"/>
        </w:rPr>
        <w:t>The p</w:t>
      </w:r>
      <w:r w:rsidR="009A21FA" w:rsidRPr="00A9336D">
        <w:rPr>
          <w:lang w:val="en-CA"/>
        </w:rPr>
        <w:t>rocesses</w:t>
      </w:r>
      <w:r>
        <w:rPr>
          <w:lang w:val="en-CA"/>
        </w:rPr>
        <w:t xml:space="preserve"> for assessing and communicating FTP</w:t>
      </w:r>
      <w:r w:rsidR="00744CCD">
        <w:rPr>
          <w:lang w:val="en-CA"/>
        </w:rPr>
        <w:t xml:space="preserve"> issues or</w:t>
      </w:r>
      <w:r>
        <w:rPr>
          <w:lang w:val="en-CA"/>
        </w:rPr>
        <w:t xml:space="preserve"> concerns are time consuming and can be a</w:t>
      </w:r>
      <w:r w:rsidR="00AB24AA" w:rsidRPr="00A9336D">
        <w:rPr>
          <w:lang w:val="en-CA"/>
        </w:rPr>
        <w:t xml:space="preserve">nxiety provoking </w:t>
      </w:r>
      <w:r w:rsidR="00823B44" w:rsidRPr="00A9336D">
        <w:rPr>
          <w:lang w:val="en-CA"/>
        </w:rPr>
        <w:t>for students</w:t>
      </w:r>
      <w:r>
        <w:rPr>
          <w:lang w:val="en-CA"/>
        </w:rPr>
        <w:t xml:space="preserve"> </w:t>
      </w:r>
      <w:r>
        <w:rPr>
          <w:noProof/>
        </w:rPr>
        <w:t>(MacLaren et al., 2016)</w:t>
      </w:r>
      <w:r w:rsidR="00823B44" w:rsidRPr="00A9336D">
        <w:rPr>
          <w:lang w:val="en-CA"/>
        </w:rPr>
        <w:t>. It is important that these processes be</w:t>
      </w:r>
      <w:r w:rsidR="009A21FA" w:rsidRPr="00A9336D">
        <w:rPr>
          <w:lang w:val="en-CA"/>
        </w:rPr>
        <w:t xml:space="preserve"> </w:t>
      </w:r>
      <w:r>
        <w:rPr>
          <w:lang w:val="en-CA"/>
        </w:rPr>
        <w:t xml:space="preserve">timely, </w:t>
      </w:r>
      <w:r w:rsidR="009A21FA" w:rsidRPr="00A9336D">
        <w:rPr>
          <w:lang w:val="en-CA"/>
        </w:rPr>
        <w:t xml:space="preserve">collaborative, cooperative, collegial, </w:t>
      </w:r>
      <w:r w:rsidR="00AB24AA" w:rsidRPr="00A9336D">
        <w:rPr>
          <w:lang w:val="en-CA"/>
        </w:rPr>
        <w:t xml:space="preserve">and </w:t>
      </w:r>
      <w:r w:rsidR="009A21FA" w:rsidRPr="00A9336D">
        <w:rPr>
          <w:lang w:val="en-CA"/>
        </w:rPr>
        <w:t>su</w:t>
      </w:r>
      <w:r w:rsidR="00AB24AA" w:rsidRPr="00A9336D">
        <w:rPr>
          <w:lang w:val="en-CA"/>
        </w:rPr>
        <w:t>pportive</w:t>
      </w:r>
      <w:r w:rsidR="009A21FA" w:rsidRPr="00A9336D">
        <w:rPr>
          <w:lang w:val="en-CA"/>
        </w:rPr>
        <w:t>.</w:t>
      </w:r>
    </w:p>
    <w:p w14:paraId="154FECD5" w14:textId="77777777" w:rsidR="001F4066" w:rsidRDefault="001F4066" w:rsidP="00B00203">
      <w:pPr>
        <w:pStyle w:val="ListParagraph"/>
        <w:numPr>
          <w:ilvl w:val="0"/>
          <w:numId w:val="13"/>
        </w:numPr>
        <w:rPr>
          <w:lang w:val="en-CA"/>
        </w:rPr>
      </w:pPr>
      <w:r>
        <w:rPr>
          <w:lang w:val="en-CA"/>
        </w:rPr>
        <w:t xml:space="preserve">The NESA BN Programs accept the responsibility to take all reasonable steps to accommodate student learning in the practice setting, in partnership with the practice site, according to the following principles: </w:t>
      </w:r>
    </w:p>
    <w:p w14:paraId="363D6040" w14:textId="77777777" w:rsidR="001F4066" w:rsidRDefault="00CF02BA" w:rsidP="001F4066">
      <w:pPr>
        <w:pStyle w:val="ListParagraph"/>
        <w:numPr>
          <w:ilvl w:val="1"/>
          <w:numId w:val="13"/>
        </w:numPr>
        <w:rPr>
          <w:lang w:val="en-CA"/>
        </w:rPr>
      </w:pPr>
      <w:r>
        <w:rPr>
          <w:lang w:val="en-CA"/>
        </w:rPr>
        <w:lastRenderedPageBreak/>
        <w:t>Accommodations must reasonably ensure the safety of patient/client, the student, and all others in the practice setting.</w:t>
      </w:r>
    </w:p>
    <w:p w14:paraId="6BA24BEB" w14:textId="77777777" w:rsidR="00CF02BA" w:rsidRDefault="00CF02BA" w:rsidP="001F4066">
      <w:pPr>
        <w:pStyle w:val="ListParagraph"/>
        <w:numPr>
          <w:ilvl w:val="1"/>
          <w:numId w:val="13"/>
        </w:numPr>
        <w:rPr>
          <w:lang w:val="en-CA"/>
        </w:rPr>
      </w:pPr>
      <w:r>
        <w:rPr>
          <w:lang w:val="en-CA"/>
        </w:rPr>
        <w:t>The requested accommodation must be acceptable to the practice site.</w:t>
      </w:r>
    </w:p>
    <w:p w14:paraId="4C4759F3" w14:textId="77777777" w:rsidR="00CF02BA" w:rsidRDefault="00CF02BA" w:rsidP="001F4066">
      <w:pPr>
        <w:pStyle w:val="ListParagraph"/>
        <w:numPr>
          <w:ilvl w:val="1"/>
          <w:numId w:val="13"/>
        </w:numPr>
        <w:rPr>
          <w:lang w:val="en-CA"/>
        </w:rPr>
      </w:pPr>
      <w:r>
        <w:rPr>
          <w:lang w:val="en-CA"/>
        </w:rPr>
        <w:t xml:space="preserve">The NESA BN Programs will be unable to provide accommodations that cause undue hardship to either the educational institution or the practice site. </w:t>
      </w:r>
    </w:p>
    <w:p w14:paraId="46190AEE" w14:textId="506EA00A" w:rsidR="003309E2" w:rsidRPr="00BA2E33" w:rsidRDefault="00472D7B" w:rsidP="003309E2">
      <w:pPr>
        <w:pStyle w:val="ListParagraph"/>
        <w:numPr>
          <w:ilvl w:val="0"/>
          <w:numId w:val="13"/>
        </w:numPr>
        <w:rPr>
          <w:lang w:val="en-CA"/>
        </w:rPr>
      </w:pPr>
      <w:r>
        <w:rPr>
          <w:lang w:val="en-CA"/>
        </w:rPr>
        <w:t>Practice a</w:t>
      </w:r>
      <w:r w:rsidR="003309E2" w:rsidRPr="003309E2">
        <w:rPr>
          <w:lang w:val="en-CA"/>
        </w:rPr>
        <w:t xml:space="preserve">ccommodations are intended to support the academic </w:t>
      </w:r>
      <w:r>
        <w:rPr>
          <w:lang w:val="en-CA"/>
        </w:rPr>
        <w:t xml:space="preserve">and performance </w:t>
      </w:r>
      <w:r w:rsidR="003309E2" w:rsidRPr="003309E2">
        <w:rPr>
          <w:lang w:val="en-CA"/>
        </w:rPr>
        <w:t xml:space="preserve">capabilities of the student and remove barriers to the student’s success. </w:t>
      </w:r>
      <w:r>
        <w:rPr>
          <w:lang w:val="en-CA"/>
        </w:rPr>
        <w:t>However, practice a</w:t>
      </w:r>
      <w:r w:rsidR="003309E2" w:rsidRPr="003309E2">
        <w:rPr>
          <w:lang w:val="en-CA"/>
        </w:rPr>
        <w:t>ccommodation</w:t>
      </w:r>
      <w:r>
        <w:rPr>
          <w:lang w:val="en-CA"/>
        </w:rPr>
        <w:t xml:space="preserve">s </w:t>
      </w:r>
      <w:r w:rsidR="003309E2" w:rsidRPr="003309E2">
        <w:rPr>
          <w:lang w:val="en-CA"/>
        </w:rPr>
        <w:t xml:space="preserve">do not require the </w:t>
      </w:r>
      <w:r>
        <w:rPr>
          <w:lang w:val="en-CA"/>
        </w:rPr>
        <w:t xml:space="preserve">NESA BN </w:t>
      </w:r>
      <w:r w:rsidR="003309E2" w:rsidRPr="003309E2">
        <w:rPr>
          <w:lang w:val="en-CA"/>
        </w:rPr>
        <w:t xml:space="preserve">Programs to lower </w:t>
      </w:r>
      <w:r>
        <w:rPr>
          <w:lang w:val="en-CA"/>
        </w:rPr>
        <w:t xml:space="preserve">their performance </w:t>
      </w:r>
      <w:r w:rsidR="003309E2" w:rsidRPr="003309E2">
        <w:rPr>
          <w:lang w:val="en-CA"/>
        </w:rPr>
        <w:t>standards</w:t>
      </w:r>
      <w:r>
        <w:rPr>
          <w:lang w:val="en-CA"/>
        </w:rPr>
        <w:t xml:space="preserve"> and expectations, </w:t>
      </w:r>
      <w:r w:rsidR="003309E2" w:rsidRPr="003309E2">
        <w:rPr>
          <w:lang w:val="en-CA"/>
        </w:rPr>
        <w:t xml:space="preserve">nor does it relieve the student of the responsibility to develop the essential competencies </w:t>
      </w:r>
      <w:r>
        <w:rPr>
          <w:lang w:val="en-CA"/>
        </w:rPr>
        <w:t xml:space="preserve">and skills </w:t>
      </w:r>
      <w:r w:rsidR="003309E2" w:rsidRPr="003309E2">
        <w:rPr>
          <w:lang w:val="en-CA"/>
        </w:rPr>
        <w:t xml:space="preserve">required </w:t>
      </w:r>
      <w:r>
        <w:rPr>
          <w:lang w:val="en-CA"/>
        </w:rPr>
        <w:t>to be successful</w:t>
      </w:r>
      <w:r w:rsidR="003309E2" w:rsidRPr="003309E2">
        <w:rPr>
          <w:lang w:val="en-CA"/>
        </w:rPr>
        <w:t>.</w:t>
      </w:r>
    </w:p>
    <w:p w14:paraId="49C520E8" w14:textId="77777777" w:rsidR="000C6769" w:rsidRPr="002F7A57" w:rsidRDefault="00993AC4" w:rsidP="002F7A57">
      <w:pPr>
        <w:pBdr>
          <w:bottom w:val="single" w:sz="4" w:space="1" w:color="auto"/>
        </w:pBdr>
        <w:rPr>
          <w:b/>
          <w:lang w:val="en-CA"/>
        </w:rPr>
      </w:pPr>
      <w:r w:rsidRPr="002F7A57">
        <w:rPr>
          <w:b/>
          <w:lang w:val="en-CA"/>
        </w:rPr>
        <w:t xml:space="preserve">SPECIFICS OF THE POLICY: </w:t>
      </w:r>
    </w:p>
    <w:p w14:paraId="2A8C32F5" w14:textId="77777777" w:rsidR="001B10FE" w:rsidRDefault="00CF02BA" w:rsidP="00472D7B">
      <w:pPr>
        <w:pStyle w:val="ListParagraph"/>
        <w:numPr>
          <w:ilvl w:val="0"/>
          <w:numId w:val="17"/>
        </w:numPr>
        <w:rPr>
          <w:lang w:val="en-CA"/>
        </w:rPr>
      </w:pPr>
      <w:r>
        <w:rPr>
          <w:lang w:val="en-CA"/>
        </w:rPr>
        <w:t>St</w:t>
      </w:r>
      <w:r w:rsidR="001B10FE">
        <w:rPr>
          <w:lang w:val="en-CA"/>
        </w:rPr>
        <w:t xml:space="preserve">udents are expected to take the necessary steps to maintain their own FTP. This may include eating a proper diet, exercising regularly, ensuring adequate rest and sleep, and stress management, among others. Numerous resources are available on both campuses to assist students in developing appropriate and effective self-care strategies to maintain </w:t>
      </w:r>
      <w:r w:rsidR="00744CCD">
        <w:rPr>
          <w:lang w:val="en-CA"/>
        </w:rPr>
        <w:t xml:space="preserve">their own </w:t>
      </w:r>
      <w:r w:rsidR="001B10FE">
        <w:rPr>
          <w:lang w:val="en-CA"/>
        </w:rPr>
        <w:t xml:space="preserve">FTP. For more information, </w:t>
      </w:r>
      <w:r w:rsidR="00055023">
        <w:rPr>
          <w:lang w:val="en-CA"/>
        </w:rPr>
        <w:t>follow the links found on these webpages</w:t>
      </w:r>
      <w:r w:rsidR="001B10FE">
        <w:rPr>
          <w:lang w:val="en-CA"/>
        </w:rPr>
        <w:t>:</w:t>
      </w:r>
    </w:p>
    <w:p w14:paraId="5F8BB034" w14:textId="77777777" w:rsidR="00055023" w:rsidRDefault="001B10FE" w:rsidP="001B10FE">
      <w:pPr>
        <w:pStyle w:val="ListParagraph"/>
        <w:numPr>
          <w:ilvl w:val="1"/>
          <w:numId w:val="17"/>
        </w:numPr>
        <w:rPr>
          <w:lang w:val="en-CA"/>
        </w:rPr>
      </w:pPr>
      <w:r w:rsidRPr="001B10FE">
        <w:rPr>
          <w:lang w:val="en-CA"/>
        </w:rPr>
        <w:t xml:space="preserve">University of Lethbridge (UL) Services for Students – </w:t>
      </w:r>
      <w:hyperlink r:id="rId10" w:history="1">
        <w:r w:rsidR="00055023" w:rsidRPr="00BE55D6">
          <w:rPr>
            <w:rStyle w:val="Hyperlink"/>
            <w:lang w:val="en-CA"/>
          </w:rPr>
          <w:t>https://www.uleth.ca/services-for-students</w:t>
        </w:r>
      </w:hyperlink>
      <w:r w:rsidR="00055023">
        <w:rPr>
          <w:lang w:val="en-CA"/>
        </w:rPr>
        <w:t xml:space="preserve"> </w:t>
      </w:r>
      <w:r w:rsidRPr="001B10FE">
        <w:rPr>
          <w:lang w:val="en-CA"/>
        </w:rPr>
        <w:t xml:space="preserve"> </w:t>
      </w:r>
    </w:p>
    <w:p w14:paraId="0CF39482" w14:textId="77777777" w:rsidR="001B10FE" w:rsidRPr="001B10FE" w:rsidRDefault="001B10FE" w:rsidP="00055023">
      <w:pPr>
        <w:pStyle w:val="ListParagraph"/>
        <w:numPr>
          <w:ilvl w:val="1"/>
          <w:numId w:val="17"/>
        </w:numPr>
        <w:rPr>
          <w:lang w:val="en-CA"/>
        </w:rPr>
      </w:pPr>
      <w:r w:rsidRPr="001B10FE">
        <w:rPr>
          <w:lang w:val="en-CA"/>
        </w:rPr>
        <w:t xml:space="preserve">Lethbridge College (LC) </w:t>
      </w:r>
      <w:r w:rsidR="00055023">
        <w:rPr>
          <w:lang w:val="en-CA"/>
        </w:rPr>
        <w:t>Current Students</w:t>
      </w:r>
      <w:r w:rsidRPr="001B10FE">
        <w:rPr>
          <w:lang w:val="en-CA"/>
        </w:rPr>
        <w:t xml:space="preserve"> – </w:t>
      </w:r>
      <w:hyperlink r:id="rId11" w:history="1">
        <w:r w:rsidR="00055023" w:rsidRPr="00BE55D6">
          <w:rPr>
            <w:rStyle w:val="Hyperlink"/>
            <w:lang w:val="en-CA"/>
          </w:rPr>
          <w:t>https://lethbridgecollege.ca/current-students</w:t>
        </w:r>
      </w:hyperlink>
      <w:r w:rsidR="00055023">
        <w:rPr>
          <w:lang w:val="en-CA"/>
        </w:rPr>
        <w:t xml:space="preserve"> </w:t>
      </w:r>
    </w:p>
    <w:p w14:paraId="7794FBFE" w14:textId="77777777" w:rsidR="00902E13" w:rsidRPr="00902E13" w:rsidRDefault="00055023" w:rsidP="00055023">
      <w:pPr>
        <w:pStyle w:val="ListParagraph"/>
        <w:numPr>
          <w:ilvl w:val="0"/>
          <w:numId w:val="17"/>
        </w:numPr>
        <w:ind w:left="709"/>
        <w:rPr>
          <w:b/>
          <w:lang w:val="en-CA"/>
        </w:rPr>
      </w:pPr>
      <w:r>
        <w:rPr>
          <w:lang w:val="en-CA"/>
        </w:rPr>
        <w:t>Students are expected to develop the professional habit</w:t>
      </w:r>
      <w:r w:rsidR="00902E13">
        <w:rPr>
          <w:lang w:val="en-CA"/>
        </w:rPr>
        <w:t>s</w:t>
      </w:r>
      <w:r>
        <w:rPr>
          <w:lang w:val="en-CA"/>
        </w:rPr>
        <w:t xml:space="preserve"> of regular self-reflection and self-assessment. </w:t>
      </w:r>
      <w:r w:rsidR="00902E13">
        <w:rPr>
          <w:lang w:val="en-CA"/>
        </w:rPr>
        <w:t xml:space="preserve">These habits will enable students to anticipate circumstances or conditions that may jeopardize </w:t>
      </w:r>
      <w:r w:rsidR="00C55E6B">
        <w:rPr>
          <w:lang w:val="en-CA"/>
        </w:rPr>
        <w:t>their</w:t>
      </w:r>
      <w:r w:rsidR="00902E13">
        <w:rPr>
          <w:lang w:val="en-CA"/>
        </w:rPr>
        <w:t xml:space="preserve"> FTP and take proactive steps to prevent FTP issues or concerns. </w:t>
      </w:r>
    </w:p>
    <w:p w14:paraId="29942507" w14:textId="77777777" w:rsidR="00902E13" w:rsidRPr="00902E13" w:rsidRDefault="00902E13" w:rsidP="00055023">
      <w:pPr>
        <w:pStyle w:val="ListParagraph"/>
        <w:numPr>
          <w:ilvl w:val="0"/>
          <w:numId w:val="17"/>
        </w:numPr>
        <w:ind w:left="709"/>
        <w:rPr>
          <w:b/>
          <w:lang w:val="en-CA"/>
        </w:rPr>
      </w:pPr>
      <w:r>
        <w:rPr>
          <w:lang w:val="en-CA"/>
        </w:rPr>
        <w:t>A FTP issue or concern may be identified by any one of the following:</w:t>
      </w:r>
    </w:p>
    <w:p w14:paraId="335D4ACC" w14:textId="77777777" w:rsidR="00902E13" w:rsidRPr="00902E13" w:rsidRDefault="00902E13" w:rsidP="00902E13">
      <w:pPr>
        <w:pStyle w:val="ListParagraph"/>
        <w:numPr>
          <w:ilvl w:val="1"/>
          <w:numId w:val="17"/>
        </w:numPr>
        <w:rPr>
          <w:b/>
          <w:lang w:val="en-CA"/>
        </w:rPr>
      </w:pPr>
      <w:r>
        <w:rPr>
          <w:lang w:val="en-CA"/>
        </w:rPr>
        <w:t>Self-identified</w:t>
      </w:r>
    </w:p>
    <w:p w14:paraId="1D0B3201" w14:textId="77777777" w:rsidR="00902E13" w:rsidRPr="00902E13" w:rsidRDefault="00902E13" w:rsidP="00902E13">
      <w:pPr>
        <w:pStyle w:val="ListParagraph"/>
        <w:numPr>
          <w:ilvl w:val="1"/>
          <w:numId w:val="17"/>
        </w:numPr>
        <w:rPr>
          <w:b/>
          <w:lang w:val="en-CA"/>
        </w:rPr>
      </w:pPr>
      <w:r>
        <w:rPr>
          <w:lang w:val="en-CA"/>
        </w:rPr>
        <w:t xml:space="preserve">Identified by theory or </w:t>
      </w:r>
      <w:r w:rsidRPr="00B413A8">
        <w:rPr>
          <w:lang w:val="en-CA"/>
        </w:rPr>
        <w:t>practice instructor</w:t>
      </w:r>
    </w:p>
    <w:p w14:paraId="518A0530" w14:textId="77777777" w:rsidR="00902E13" w:rsidRPr="00902E13" w:rsidRDefault="00902E13" w:rsidP="00902E13">
      <w:pPr>
        <w:pStyle w:val="ListParagraph"/>
        <w:numPr>
          <w:ilvl w:val="1"/>
          <w:numId w:val="17"/>
        </w:numPr>
        <w:rPr>
          <w:b/>
          <w:lang w:val="en-CA"/>
        </w:rPr>
      </w:pPr>
      <w:r>
        <w:rPr>
          <w:lang w:val="en-CA"/>
        </w:rPr>
        <w:t>Identified by peer or colleague</w:t>
      </w:r>
    </w:p>
    <w:p w14:paraId="36F5DE73" w14:textId="77777777" w:rsidR="00902E13" w:rsidRPr="00902E13" w:rsidRDefault="00902E13" w:rsidP="00902E13">
      <w:pPr>
        <w:pStyle w:val="ListParagraph"/>
        <w:numPr>
          <w:ilvl w:val="1"/>
          <w:numId w:val="17"/>
        </w:numPr>
        <w:rPr>
          <w:b/>
          <w:lang w:val="en-CA"/>
        </w:rPr>
      </w:pPr>
      <w:r>
        <w:rPr>
          <w:lang w:val="en-CA"/>
        </w:rPr>
        <w:t>Identified by someone else (Ex: healthcare provider, employer, etc.)</w:t>
      </w:r>
    </w:p>
    <w:p w14:paraId="1163BDB8" w14:textId="22741499" w:rsidR="00902E13" w:rsidRPr="00902E13" w:rsidRDefault="00902E13" w:rsidP="00902E13">
      <w:pPr>
        <w:pStyle w:val="ListParagraph"/>
        <w:numPr>
          <w:ilvl w:val="0"/>
          <w:numId w:val="17"/>
        </w:numPr>
        <w:rPr>
          <w:b/>
          <w:lang w:val="en-CA"/>
        </w:rPr>
      </w:pPr>
      <w:r>
        <w:rPr>
          <w:lang w:val="en-CA"/>
        </w:rPr>
        <w:t>When a</w:t>
      </w:r>
      <w:r w:rsidR="00CF02BA">
        <w:rPr>
          <w:lang w:val="en-CA"/>
        </w:rPr>
        <w:t xml:space="preserve">n actual or potential </w:t>
      </w:r>
      <w:r>
        <w:rPr>
          <w:lang w:val="en-CA"/>
        </w:rPr>
        <w:t xml:space="preserve">FTP issue or concern </w:t>
      </w:r>
      <w:r w:rsidR="00CF02BA" w:rsidRPr="00CF02BA">
        <w:rPr>
          <w:u w:val="single"/>
          <w:lang w:val="en-CA"/>
        </w:rPr>
        <w:t>about a student</w:t>
      </w:r>
      <w:r w:rsidR="00CF02BA">
        <w:rPr>
          <w:lang w:val="en-CA"/>
        </w:rPr>
        <w:t xml:space="preserve"> </w:t>
      </w:r>
      <w:r>
        <w:rPr>
          <w:lang w:val="en-CA"/>
        </w:rPr>
        <w:t>is identified, the NESA</w:t>
      </w:r>
      <w:r w:rsidR="00664B5C">
        <w:rPr>
          <w:lang w:val="en-CA"/>
        </w:rPr>
        <w:t xml:space="preserve"> Practice Coordinator</w:t>
      </w:r>
      <w:r>
        <w:rPr>
          <w:lang w:val="en-CA"/>
        </w:rPr>
        <w:t xml:space="preserve"> at LC</w:t>
      </w:r>
      <w:r w:rsidR="006F5EED">
        <w:rPr>
          <w:lang w:val="en-CA"/>
        </w:rPr>
        <w:t xml:space="preserve"> (PC)</w:t>
      </w:r>
      <w:r>
        <w:rPr>
          <w:lang w:val="en-CA"/>
        </w:rPr>
        <w:t xml:space="preserve">, or the NESA </w:t>
      </w:r>
      <w:r w:rsidR="00664B5C">
        <w:rPr>
          <w:lang w:val="en-CA"/>
        </w:rPr>
        <w:t>Assistant Dean-Nursing</w:t>
      </w:r>
      <w:r>
        <w:rPr>
          <w:lang w:val="en-CA"/>
        </w:rPr>
        <w:t xml:space="preserve"> </w:t>
      </w:r>
      <w:r w:rsidR="006F5EED">
        <w:rPr>
          <w:lang w:val="en-CA"/>
        </w:rPr>
        <w:t>at UL (</w:t>
      </w:r>
      <w:r w:rsidR="00664B5C">
        <w:rPr>
          <w:lang w:val="en-CA"/>
        </w:rPr>
        <w:t>AD</w:t>
      </w:r>
      <w:r>
        <w:rPr>
          <w:lang w:val="en-CA"/>
        </w:rPr>
        <w:t xml:space="preserve">), as appropriate, must be notified as soon as possible. </w:t>
      </w:r>
      <w:r w:rsidR="00CF02BA">
        <w:rPr>
          <w:lang w:val="en-CA"/>
        </w:rPr>
        <w:t>I</w:t>
      </w:r>
      <w:r w:rsidR="002E21DD">
        <w:rPr>
          <w:lang w:val="en-CA"/>
        </w:rPr>
        <w:t xml:space="preserve">t is the role of the </w:t>
      </w:r>
      <w:r w:rsidR="00CF02BA">
        <w:rPr>
          <w:lang w:val="en-CA"/>
        </w:rPr>
        <w:t>PC</w:t>
      </w:r>
      <w:r w:rsidR="002E21DD">
        <w:rPr>
          <w:lang w:val="en-CA"/>
        </w:rPr>
        <w:t xml:space="preserve"> or </w:t>
      </w:r>
      <w:r w:rsidR="00664B5C">
        <w:rPr>
          <w:lang w:val="en-CA"/>
        </w:rPr>
        <w:t>AD</w:t>
      </w:r>
      <w:r w:rsidR="002E21DD">
        <w:rPr>
          <w:lang w:val="en-CA"/>
        </w:rPr>
        <w:t xml:space="preserve"> to guide the </w:t>
      </w:r>
      <w:r w:rsidR="00CF02BA">
        <w:rPr>
          <w:lang w:val="en-CA"/>
        </w:rPr>
        <w:t>student</w:t>
      </w:r>
      <w:r w:rsidR="002E21DD">
        <w:rPr>
          <w:lang w:val="en-CA"/>
        </w:rPr>
        <w:t xml:space="preserve"> through the approved NESA process of assessing and </w:t>
      </w:r>
      <w:r w:rsidR="00C55E6B">
        <w:rPr>
          <w:lang w:val="en-CA"/>
        </w:rPr>
        <w:t>navigating</w:t>
      </w:r>
      <w:r w:rsidR="002E21DD">
        <w:rPr>
          <w:lang w:val="en-CA"/>
        </w:rPr>
        <w:t xml:space="preserve"> the FTP issue or </w:t>
      </w:r>
      <w:r w:rsidR="00CF02BA">
        <w:rPr>
          <w:lang w:val="en-CA"/>
        </w:rPr>
        <w:t>concern.</w:t>
      </w:r>
    </w:p>
    <w:p w14:paraId="3A71EA73" w14:textId="2789A334" w:rsidR="002E21DD" w:rsidRPr="002E21DD" w:rsidRDefault="006F5EED" w:rsidP="00902E13">
      <w:pPr>
        <w:pStyle w:val="ListParagraph"/>
        <w:numPr>
          <w:ilvl w:val="0"/>
          <w:numId w:val="17"/>
        </w:numPr>
        <w:rPr>
          <w:b/>
          <w:lang w:val="en-CA"/>
        </w:rPr>
      </w:pPr>
      <w:r>
        <w:rPr>
          <w:lang w:val="en-CA"/>
        </w:rPr>
        <w:t xml:space="preserve">Once </w:t>
      </w:r>
      <w:r w:rsidR="00CF02BA">
        <w:rPr>
          <w:lang w:val="en-CA"/>
        </w:rPr>
        <w:t xml:space="preserve">the student has met with the PC or </w:t>
      </w:r>
      <w:r w:rsidR="00664B5C">
        <w:rPr>
          <w:lang w:val="en-CA"/>
        </w:rPr>
        <w:t>AD</w:t>
      </w:r>
      <w:r w:rsidR="00CF02BA">
        <w:rPr>
          <w:lang w:val="en-CA"/>
        </w:rPr>
        <w:t xml:space="preserve">, </w:t>
      </w:r>
      <w:proofErr w:type="gramStart"/>
      <w:r w:rsidR="00CF02BA">
        <w:rPr>
          <w:lang w:val="en-CA"/>
        </w:rPr>
        <w:t>a</w:t>
      </w:r>
      <w:proofErr w:type="gramEnd"/>
      <w:r>
        <w:rPr>
          <w:lang w:val="en-CA"/>
        </w:rPr>
        <w:t xml:space="preserve"> FTP</w:t>
      </w:r>
      <w:r w:rsidR="00CF02BA">
        <w:rPr>
          <w:lang w:val="en-CA"/>
        </w:rPr>
        <w:t>-OHA</w:t>
      </w:r>
      <w:r>
        <w:rPr>
          <w:lang w:val="en-CA"/>
        </w:rPr>
        <w:t xml:space="preserve"> will be initiated</w:t>
      </w:r>
      <w:r w:rsidR="00CF02BA">
        <w:rPr>
          <w:lang w:val="en-CA"/>
        </w:rPr>
        <w:t xml:space="preserve"> if indicated</w:t>
      </w:r>
      <w:r>
        <w:rPr>
          <w:lang w:val="en-CA"/>
        </w:rPr>
        <w:t xml:space="preserve">. </w:t>
      </w:r>
      <w:r w:rsidR="002E21DD">
        <w:rPr>
          <w:lang w:val="en-CA"/>
        </w:rPr>
        <w:t>The FTP</w:t>
      </w:r>
      <w:r w:rsidR="00CF02BA">
        <w:rPr>
          <w:lang w:val="en-CA"/>
        </w:rPr>
        <w:t>-OHA</w:t>
      </w:r>
      <w:r w:rsidR="002E21DD">
        <w:rPr>
          <w:lang w:val="en-CA"/>
        </w:rPr>
        <w:t xml:space="preserve"> process can take time. While this process is in progress, the student will not be allowed to return to the practice site. Therefore, it is critical to notify the </w:t>
      </w:r>
      <w:r>
        <w:rPr>
          <w:lang w:val="en-CA"/>
        </w:rPr>
        <w:t>PC</w:t>
      </w:r>
      <w:r w:rsidR="002E21DD">
        <w:rPr>
          <w:lang w:val="en-CA"/>
        </w:rPr>
        <w:t xml:space="preserve"> or </w:t>
      </w:r>
      <w:r w:rsidR="00664B5C">
        <w:rPr>
          <w:lang w:val="en-CA"/>
        </w:rPr>
        <w:t>AD</w:t>
      </w:r>
      <w:r>
        <w:rPr>
          <w:lang w:val="en-CA"/>
        </w:rPr>
        <w:t xml:space="preserve"> </w:t>
      </w:r>
      <w:r w:rsidR="00CF02BA">
        <w:rPr>
          <w:lang w:val="en-CA"/>
        </w:rPr>
        <w:t>right away</w:t>
      </w:r>
      <w:r w:rsidR="002E21DD">
        <w:rPr>
          <w:lang w:val="en-CA"/>
        </w:rPr>
        <w:t>, so that the assessment process can be initiated quickly</w:t>
      </w:r>
      <w:r w:rsidR="0019187D">
        <w:rPr>
          <w:lang w:val="en-CA"/>
        </w:rPr>
        <w:t>,</w:t>
      </w:r>
      <w:r w:rsidR="002E21DD">
        <w:rPr>
          <w:lang w:val="en-CA"/>
        </w:rPr>
        <w:t xml:space="preserve"> and the student can return to the practice area as soon as possible. Practice time lost during the FTP process will be counted as absences and may impact a student’s ability to successfully complete a practice course. </w:t>
      </w:r>
    </w:p>
    <w:p w14:paraId="3F3C16DE" w14:textId="0D88D6B3" w:rsidR="00C55E6B" w:rsidRPr="00C55E6B" w:rsidRDefault="006F5EED" w:rsidP="00902E13">
      <w:pPr>
        <w:pStyle w:val="ListParagraph"/>
        <w:numPr>
          <w:ilvl w:val="0"/>
          <w:numId w:val="17"/>
        </w:numPr>
        <w:rPr>
          <w:b/>
          <w:lang w:val="en-CA"/>
        </w:rPr>
      </w:pPr>
      <w:r>
        <w:rPr>
          <w:lang w:val="en-CA"/>
        </w:rPr>
        <w:t xml:space="preserve">Once </w:t>
      </w:r>
      <w:proofErr w:type="gramStart"/>
      <w:r>
        <w:rPr>
          <w:lang w:val="en-CA"/>
        </w:rPr>
        <w:t>a</w:t>
      </w:r>
      <w:proofErr w:type="gramEnd"/>
      <w:r>
        <w:rPr>
          <w:lang w:val="en-CA"/>
        </w:rPr>
        <w:t xml:space="preserve"> FTP</w:t>
      </w:r>
      <w:r w:rsidR="001150CF">
        <w:rPr>
          <w:lang w:val="en-CA"/>
        </w:rPr>
        <w:t>-OHA</w:t>
      </w:r>
      <w:r>
        <w:rPr>
          <w:lang w:val="en-CA"/>
        </w:rPr>
        <w:t xml:space="preserve"> has been completed, the PC or </w:t>
      </w:r>
      <w:r w:rsidR="00664B5C">
        <w:rPr>
          <w:lang w:val="en-CA"/>
        </w:rPr>
        <w:t>AD</w:t>
      </w:r>
      <w:r>
        <w:rPr>
          <w:lang w:val="en-CA"/>
        </w:rPr>
        <w:t xml:space="preserve"> will review the results of the assessment and determine the next steps. </w:t>
      </w:r>
      <w:r w:rsidR="00C55E6B">
        <w:rPr>
          <w:lang w:val="en-CA"/>
        </w:rPr>
        <w:t xml:space="preserve">The assessment will determine if any restrictions or limitations apply </w:t>
      </w:r>
      <w:r w:rsidR="00C55E6B">
        <w:rPr>
          <w:lang w:val="en-CA"/>
        </w:rPr>
        <w:lastRenderedPageBreak/>
        <w:t xml:space="preserve">to the </w:t>
      </w:r>
      <w:r w:rsidR="001150CF">
        <w:rPr>
          <w:lang w:val="en-CA"/>
        </w:rPr>
        <w:t>student</w:t>
      </w:r>
      <w:r w:rsidR="00C55E6B">
        <w:rPr>
          <w:lang w:val="en-CA"/>
        </w:rPr>
        <w:t xml:space="preserve">’s practice, and the </w:t>
      </w:r>
      <w:r w:rsidR="001150CF">
        <w:rPr>
          <w:lang w:val="en-CA"/>
        </w:rPr>
        <w:t>duration of</w:t>
      </w:r>
      <w:r w:rsidR="00C55E6B">
        <w:rPr>
          <w:lang w:val="en-CA"/>
        </w:rPr>
        <w:t xml:space="preserve"> those restrictions or limitations. </w:t>
      </w:r>
      <w:r w:rsidR="00563D19">
        <w:rPr>
          <w:lang w:val="en-CA"/>
        </w:rPr>
        <w:t>The assessment will also specify what, if any, accommodations are required. These</w:t>
      </w:r>
      <w:r w:rsidR="00C55E6B">
        <w:rPr>
          <w:lang w:val="en-CA"/>
        </w:rPr>
        <w:t xml:space="preserve"> accommodations</w:t>
      </w:r>
      <w:r w:rsidR="00563D19">
        <w:rPr>
          <w:lang w:val="en-CA"/>
        </w:rPr>
        <w:t xml:space="preserve"> will be evaluated by the PC or </w:t>
      </w:r>
      <w:r w:rsidR="00664B5C">
        <w:rPr>
          <w:lang w:val="en-CA"/>
        </w:rPr>
        <w:t>AD</w:t>
      </w:r>
      <w:r w:rsidR="00563D19">
        <w:rPr>
          <w:lang w:val="en-CA"/>
        </w:rPr>
        <w:t>, in collaboration with the practice site</w:t>
      </w:r>
      <w:r w:rsidR="001150CF">
        <w:rPr>
          <w:lang w:val="en-CA"/>
        </w:rPr>
        <w:t xml:space="preserve"> representative</w:t>
      </w:r>
      <w:r w:rsidR="00563D19">
        <w:rPr>
          <w:lang w:val="en-CA"/>
        </w:rPr>
        <w:t xml:space="preserve">, for feasibility. </w:t>
      </w:r>
      <w:r w:rsidR="00C55E6B">
        <w:rPr>
          <w:lang w:val="en-CA"/>
        </w:rPr>
        <w:t xml:space="preserve">The NESA BN Programs will make all reasonable efforts to fulfill their duty to accommodate. </w:t>
      </w:r>
    </w:p>
    <w:p w14:paraId="3F949B06" w14:textId="2B23FDCF" w:rsidR="00555ECF" w:rsidRPr="00BA2E33" w:rsidRDefault="00C55E6B" w:rsidP="00BA2E33">
      <w:pPr>
        <w:pStyle w:val="ListParagraph"/>
        <w:numPr>
          <w:ilvl w:val="0"/>
          <w:numId w:val="17"/>
        </w:numPr>
        <w:rPr>
          <w:b/>
          <w:lang w:val="en-CA"/>
        </w:rPr>
      </w:pPr>
      <w:r>
        <w:rPr>
          <w:lang w:val="en-CA"/>
        </w:rPr>
        <w:t>If</w:t>
      </w:r>
      <w:r w:rsidR="001150CF">
        <w:rPr>
          <w:lang w:val="en-CA"/>
        </w:rPr>
        <w:t xml:space="preserve">, in consultation with the </w:t>
      </w:r>
      <w:r w:rsidR="001150CF" w:rsidRPr="00B413A8">
        <w:rPr>
          <w:lang w:val="en-CA"/>
        </w:rPr>
        <w:t>practice instructor, it</w:t>
      </w:r>
      <w:r w:rsidR="001150CF">
        <w:rPr>
          <w:lang w:val="en-CA"/>
        </w:rPr>
        <w:t xml:space="preserve"> is determined that </w:t>
      </w:r>
      <w:r>
        <w:rPr>
          <w:lang w:val="en-CA"/>
        </w:rPr>
        <w:t>the restrictions or limitations imposed</w:t>
      </w:r>
      <w:r w:rsidR="001150CF">
        <w:rPr>
          <w:lang w:val="en-CA"/>
        </w:rPr>
        <w:t xml:space="preserve"> by the FTP-OHA</w:t>
      </w:r>
      <w:r>
        <w:rPr>
          <w:lang w:val="en-CA"/>
        </w:rPr>
        <w:t xml:space="preserve"> will prevent the student from </w:t>
      </w:r>
      <w:r w:rsidR="001150CF">
        <w:rPr>
          <w:lang w:val="en-CA"/>
        </w:rPr>
        <w:t>meeting the learning outcomes of</w:t>
      </w:r>
      <w:r>
        <w:rPr>
          <w:lang w:val="en-CA"/>
        </w:rPr>
        <w:t xml:space="preserve"> the practice course, the student may be required to withdraw </w:t>
      </w:r>
      <w:r w:rsidR="001150CF">
        <w:rPr>
          <w:lang w:val="en-CA"/>
        </w:rPr>
        <w:t xml:space="preserve">from the practice </w:t>
      </w:r>
      <w:r>
        <w:rPr>
          <w:lang w:val="en-CA"/>
        </w:rPr>
        <w:t>course. Similarly, if</w:t>
      </w:r>
      <w:r w:rsidR="001150CF">
        <w:rPr>
          <w:lang w:val="en-CA"/>
        </w:rPr>
        <w:t xml:space="preserve"> implementation of</w:t>
      </w:r>
      <w:r>
        <w:rPr>
          <w:lang w:val="en-CA"/>
        </w:rPr>
        <w:t xml:space="preserve"> the recommended accommodations </w:t>
      </w:r>
      <w:r w:rsidR="001150CF">
        <w:rPr>
          <w:lang w:val="en-CA"/>
        </w:rPr>
        <w:t xml:space="preserve">is </w:t>
      </w:r>
      <w:r>
        <w:rPr>
          <w:lang w:val="en-CA"/>
        </w:rPr>
        <w:t xml:space="preserve">not feasible, the student may be required to withdraw from the </w:t>
      </w:r>
      <w:r w:rsidR="001150CF">
        <w:rPr>
          <w:lang w:val="en-CA"/>
        </w:rPr>
        <w:t xml:space="preserve">practice </w:t>
      </w:r>
      <w:r>
        <w:rPr>
          <w:lang w:val="en-CA"/>
        </w:rPr>
        <w:t>course.</w:t>
      </w:r>
      <w:r w:rsidR="006F5EED">
        <w:rPr>
          <w:lang w:val="en-CA"/>
        </w:rPr>
        <w:t xml:space="preserve"> </w:t>
      </w:r>
    </w:p>
    <w:p w14:paraId="430BFFBC" w14:textId="77777777" w:rsidR="00555ECF" w:rsidRDefault="00993AC4" w:rsidP="0060008A">
      <w:pPr>
        <w:pBdr>
          <w:bottom w:val="single" w:sz="4" w:space="1" w:color="auto"/>
        </w:pBdr>
        <w:rPr>
          <w:b/>
          <w:lang w:val="en-CA"/>
        </w:rPr>
      </w:pPr>
      <w:r w:rsidRPr="007C1AA4">
        <w:rPr>
          <w:b/>
          <w:lang w:val="en-CA"/>
        </w:rPr>
        <w:t>APPENDIX:</w:t>
      </w:r>
    </w:p>
    <w:p w14:paraId="4F01A71B" w14:textId="1ECCA5E0" w:rsidR="00563D19" w:rsidRPr="00BA2E33" w:rsidRDefault="00912A7F" w:rsidP="0060008A">
      <w:pPr>
        <w:pBdr>
          <w:bottom w:val="single" w:sz="4" w:space="1" w:color="auto"/>
        </w:pBdr>
        <w:rPr>
          <w:lang w:val="en-CA"/>
        </w:rPr>
      </w:pPr>
      <w:r w:rsidRPr="00912A7F">
        <w:rPr>
          <w:lang w:val="en-CA"/>
        </w:rPr>
        <w:t>N/A</w:t>
      </w:r>
    </w:p>
    <w:p w14:paraId="0D748556" w14:textId="77777777" w:rsidR="005F031C" w:rsidRPr="002F7A57" w:rsidRDefault="00993AC4" w:rsidP="0060008A">
      <w:pPr>
        <w:pBdr>
          <w:bottom w:val="single" w:sz="4" w:space="1" w:color="auto"/>
        </w:pBdr>
        <w:rPr>
          <w:lang w:val="en-CA"/>
        </w:rPr>
      </w:pPr>
      <w:r w:rsidRPr="002F7A57">
        <w:rPr>
          <w:b/>
          <w:lang w:val="en-CA"/>
        </w:rPr>
        <w:t>RELATED PO</w:t>
      </w:r>
      <w:r w:rsidR="002F7A57">
        <w:rPr>
          <w:b/>
          <w:lang w:val="en-CA"/>
        </w:rPr>
        <w:t>LICIES/</w:t>
      </w:r>
      <w:r w:rsidRPr="002F7A57">
        <w:rPr>
          <w:b/>
          <w:lang w:val="en-CA"/>
        </w:rPr>
        <w:t>ASSOCIATED GUIDELINES:</w:t>
      </w:r>
      <w:r w:rsidR="000F65D8">
        <w:rPr>
          <w:b/>
          <w:lang w:val="en-CA"/>
        </w:rPr>
        <w:t xml:space="preserve"> </w:t>
      </w:r>
    </w:p>
    <w:p w14:paraId="4A2BF581" w14:textId="77777777" w:rsidR="005420F6" w:rsidRDefault="00555ECF" w:rsidP="00BD7BB4">
      <w:pPr>
        <w:spacing w:after="0"/>
        <w:rPr>
          <w:lang w:val="en-CA"/>
        </w:rPr>
      </w:pPr>
      <w:r>
        <w:rPr>
          <w:lang w:val="en-CA"/>
        </w:rPr>
        <w:t xml:space="preserve">NESA BN Programs </w:t>
      </w:r>
      <w:r w:rsidRPr="00555ECF">
        <w:rPr>
          <w:lang w:val="en-CA"/>
        </w:rPr>
        <w:t xml:space="preserve">Policy: </w:t>
      </w:r>
      <w:r w:rsidR="00BD7BB4" w:rsidRPr="00555ECF">
        <w:rPr>
          <w:lang w:val="en-CA"/>
        </w:rPr>
        <w:t xml:space="preserve">Professional Conduct </w:t>
      </w:r>
    </w:p>
    <w:p w14:paraId="137637B9" w14:textId="77777777" w:rsidR="00622C25" w:rsidRDefault="00622C25" w:rsidP="00BD7BB4">
      <w:pPr>
        <w:spacing w:after="0"/>
        <w:rPr>
          <w:lang w:val="en-CA"/>
        </w:rPr>
      </w:pPr>
      <w:r>
        <w:rPr>
          <w:lang w:val="en-CA"/>
        </w:rPr>
        <w:t>Lethbridge College Policy: Occupational Health and Safety Policy</w:t>
      </w:r>
    </w:p>
    <w:p w14:paraId="3944703A" w14:textId="77777777" w:rsidR="00622C25" w:rsidRPr="00874C0A" w:rsidRDefault="00622C25" w:rsidP="00BD7BB4">
      <w:pPr>
        <w:spacing w:after="0"/>
        <w:rPr>
          <w:rFonts w:cstheme="minorHAnsi"/>
          <w:lang w:val="en-CA"/>
        </w:rPr>
      </w:pPr>
      <w:r w:rsidRPr="00874C0A">
        <w:rPr>
          <w:rFonts w:cstheme="minorHAnsi"/>
          <w:lang w:val="en-CA"/>
        </w:rPr>
        <w:t>Lethbridge College Policy: Academic Accommodation for Students with Disabilities Policy</w:t>
      </w:r>
    </w:p>
    <w:p w14:paraId="11922782" w14:textId="77777777" w:rsidR="00874C0A" w:rsidRPr="00874C0A" w:rsidRDefault="00874C0A" w:rsidP="00874C0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University of Lethbridge Policy: </w:t>
      </w:r>
      <w:r w:rsidRPr="00874C0A">
        <w:rPr>
          <w:rFonts w:asciiTheme="minorHAnsi" w:hAnsiTheme="minorHAnsi" w:cstheme="minorHAnsi"/>
          <w:color w:val="000000"/>
          <w:sz w:val="22"/>
          <w:szCs w:val="22"/>
        </w:rPr>
        <w:t>Academic Accommodations for Students with Disabilities Policy</w:t>
      </w:r>
    </w:p>
    <w:p w14:paraId="2F024FD0" w14:textId="77777777" w:rsidR="00874C0A" w:rsidRPr="00874C0A" w:rsidRDefault="00874C0A" w:rsidP="00874C0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University of Lethbridge Policy: </w:t>
      </w:r>
      <w:r w:rsidRPr="00874C0A">
        <w:rPr>
          <w:rFonts w:asciiTheme="minorHAnsi" w:hAnsiTheme="minorHAnsi" w:cstheme="minorHAnsi"/>
          <w:color w:val="000000"/>
          <w:sz w:val="22"/>
          <w:szCs w:val="22"/>
        </w:rPr>
        <w:t>Assessment of Student Learning Policy and Procedures (Undergraduate Students)</w:t>
      </w:r>
    </w:p>
    <w:p w14:paraId="06BCB123" w14:textId="77777777" w:rsidR="00874C0A" w:rsidRPr="00874C0A" w:rsidRDefault="00874C0A" w:rsidP="00874C0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University of Lethbridge Policy: </w:t>
      </w:r>
      <w:r w:rsidRPr="00874C0A">
        <w:rPr>
          <w:rFonts w:asciiTheme="minorHAnsi" w:hAnsiTheme="minorHAnsi" w:cstheme="minorHAnsi"/>
          <w:color w:val="000000"/>
          <w:sz w:val="22"/>
          <w:szCs w:val="22"/>
        </w:rPr>
        <w:t>Harassment and Discrimination Policy</w:t>
      </w:r>
    </w:p>
    <w:p w14:paraId="78E7E9F1" w14:textId="77777777" w:rsidR="00555ECF" w:rsidRDefault="00555ECF" w:rsidP="00C059F5">
      <w:pPr>
        <w:pBdr>
          <w:bottom w:val="single" w:sz="4" w:space="1" w:color="auto"/>
        </w:pBdr>
        <w:rPr>
          <w:b/>
          <w:lang w:val="en-CA"/>
        </w:rPr>
      </w:pPr>
    </w:p>
    <w:p w14:paraId="7406B0FE" w14:textId="77777777" w:rsidR="00C059F5" w:rsidRDefault="00993AC4" w:rsidP="00C059F5">
      <w:pPr>
        <w:pBdr>
          <w:bottom w:val="single" w:sz="4" w:space="1" w:color="auto"/>
        </w:pBdr>
        <w:rPr>
          <w:lang w:val="en-CA"/>
        </w:rPr>
      </w:pPr>
      <w:r w:rsidRPr="002F7A57">
        <w:rPr>
          <w:b/>
          <w:lang w:val="en-CA"/>
        </w:rPr>
        <w:t>REFERENCES:</w:t>
      </w:r>
      <w:r w:rsidR="00E02380" w:rsidRPr="002F7A57">
        <w:rPr>
          <w:lang w:val="en-CA"/>
        </w:rPr>
        <w:t xml:space="preserve">  </w:t>
      </w:r>
    </w:p>
    <w:p w14:paraId="3FC0F696" w14:textId="77777777" w:rsidR="00563D19" w:rsidRDefault="00563D19" w:rsidP="004C304A">
      <w:pPr>
        <w:pBdr>
          <w:bottom w:val="single" w:sz="4" w:space="1" w:color="auto"/>
        </w:pBdr>
        <w:spacing w:after="0" w:line="480" w:lineRule="auto"/>
        <w:ind w:left="567" w:hanging="567"/>
        <w:rPr>
          <w:noProof/>
        </w:rPr>
      </w:pPr>
      <w:r w:rsidRPr="00954EBC">
        <w:rPr>
          <w:lang w:val="en-CA"/>
        </w:rPr>
        <w:t>Alberta Health Services</w:t>
      </w:r>
      <w:r w:rsidR="007547B7">
        <w:rPr>
          <w:lang w:val="en-CA"/>
        </w:rPr>
        <w:t>.</w:t>
      </w:r>
      <w:r w:rsidRPr="00954EBC">
        <w:rPr>
          <w:lang w:val="en-CA"/>
        </w:rPr>
        <w:t xml:space="preserve"> (2015). </w:t>
      </w:r>
      <w:r w:rsidRPr="00954EBC">
        <w:rPr>
          <w:i/>
          <w:lang w:val="en-CA"/>
        </w:rPr>
        <w:t>Fitness to practice: Student placements.</w:t>
      </w:r>
      <w:r w:rsidRPr="00954EBC">
        <w:rPr>
          <w:lang w:val="en-CA"/>
        </w:rPr>
        <w:t xml:space="preserve"> Practice Support Document</w:t>
      </w:r>
      <w:r>
        <w:rPr>
          <w:lang w:val="en-CA"/>
        </w:rPr>
        <w:t xml:space="preserve"> (Guideline)</w:t>
      </w:r>
      <w:r w:rsidRPr="00954EBC">
        <w:rPr>
          <w:lang w:val="en-CA"/>
        </w:rPr>
        <w:t xml:space="preserve"> # 1165: </w:t>
      </w:r>
      <w:r>
        <w:rPr>
          <w:lang w:val="en-CA"/>
        </w:rPr>
        <w:t>Alberta Health Services.</w:t>
      </w:r>
      <w:r>
        <w:rPr>
          <w:noProof/>
        </w:rPr>
        <w:t xml:space="preserve"> </w:t>
      </w:r>
    </w:p>
    <w:p w14:paraId="68C0AB23" w14:textId="77777777" w:rsidR="00563D19" w:rsidRDefault="00563D19" w:rsidP="004C304A">
      <w:pPr>
        <w:pBdr>
          <w:bottom w:val="single" w:sz="4" w:space="1" w:color="auto"/>
        </w:pBdr>
        <w:spacing w:after="0" w:line="480" w:lineRule="auto"/>
        <w:ind w:left="567" w:hanging="567"/>
        <w:rPr>
          <w:noProof/>
        </w:rPr>
      </w:pPr>
      <w:r>
        <w:rPr>
          <w:noProof/>
        </w:rPr>
        <w:t xml:space="preserve">Alberta Human Rights Commission. (2010). </w:t>
      </w:r>
      <w:r>
        <w:rPr>
          <w:i/>
          <w:iCs/>
          <w:noProof/>
        </w:rPr>
        <w:t>Duty to accommodate: Interpretive bulletin.</w:t>
      </w:r>
      <w:r>
        <w:rPr>
          <w:noProof/>
        </w:rPr>
        <w:t xml:space="preserve"> Edmonton, AB: Alberta Human Rights Commission. Retrieved March 11, 2019, from </w:t>
      </w:r>
      <w:hyperlink r:id="rId12" w:history="1">
        <w:r w:rsidRPr="00BE55D6">
          <w:rPr>
            <w:rStyle w:val="Hyperlink"/>
            <w:noProof/>
          </w:rPr>
          <w:t>https://www.albertahumanrights.ab.ca/Documents/Bull_DutytoAccom_web.pdf</w:t>
        </w:r>
      </w:hyperlink>
    </w:p>
    <w:p w14:paraId="427244F7" w14:textId="5065B588" w:rsidR="00563D19" w:rsidRDefault="00563D19" w:rsidP="004C304A">
      <w:pPr>
        <w:pBdr>
          <w:bottom w:val="single" w:sz="4" w:space="1" w:color="auto"/>
        </w:pBdr>
        <w:spacing w:after="0" w:line="480" w:lineRule="auto"/>
        <w:ind w:left="567" w:hanging="567"/>
        <w:rPr>
          <w:noProof/>
        </w:rPr>
      </w:pPr>
      <w:r w:rsidRPr="00AE233A">
        <w:rPr>
          <w:noProof/>
        </w:rPr>
        <w:t>C</w:t>
      </w:r>
      <w:r w:rsidR="00BA2E33" w:rsidRPr="00AE233A">
        <w:rPr>
          <w:noProof/>
        </w:rPr>
        <w:t>anadian Nurses Association</w:t>
      </w:r>
      <w:r w:rsidRPr="00AE233A">
        <w:rPr>
          <w:noProof/>
        </w:rPr>
        <w:t>.</w:t>
      </w:r>
      <w:r>
        <w:rPr>
          <w:noProof/>
        </w:rPr>
        <w:t xml:space="preserve"> (2017). </w:t>
      </w:r>
      <w:r>
        <w:rPr>
          <w:i/>
          <w:iCs/>
          <w:noProof/>
        </w:rPr>
        <w:t>Code of ethics for registered nurses.</w:t>
      </w:r>
      <w:r>
        <w:rPr>
          <w:noProof/>
        </w:rPr>
        <w:t xml:space="preserve"> Ottawa, ON: Canadian Nurses Association. Retrieved from </w:t>
      </w:r>
      <w:hyperlink r:id="rId13" w:history="1">
        <w:r w:rsidRPr="00BE55D6">
          <w:rPr>
            <w:rStyle w:val="Hyperlink"/>
            <w:noProof/>
          </w:rPr>
          <w:t>https://www.cna-aiic.ca/~/media/cna/page-content/pdf-en/code-of-ethics-2017-edition-secure-interactive</w:t>
        </w:r>
      </w:hyperlink>
    </w:p>
    <w:p w14:paraId="34CC9D1C" w14:textId="77777777" w:rsidR="00563D19" w:rsidRDefault="00563D19" w:rsidP="004C304A">
      <w:pPr>
        <w:pBdr>
          <w:bottom w:val="single" w:sz="4" w:space="1" w:color="auto"/>
        </w:pBdr>
        <w:spacing w:after="0" w:line="480" w:lineRule="auto"/>
        <w:ind w:left="567" w:hanging="567"/>
        <w:rPr>
          <w:noProof/>
        </w:rPr>
      </w:pPr>
      <w:r>
        <w:rPr>
          <w:noProof/>
        </w:rPr>
        <w:lastRenderedPageBreak/>
        <w:t xml:space="preserve">MacLaren, J., Haycock-Stuart, E., McLachlan, A., &amp; James, C. (2016). Understanding pre-registration nursing fitness to practise processes. </w:t>
      </w:r>
      <w:r>
        <w:rPr>
          <w:i/>
          <w:iCs/>
          <w:noProof/>
        </w:rPr>
        <w:t>Nurse Education Today, 36</w:t>
      </w:r>
      <w:r>
        <w:rPr>
          <w:noProof/>
        </w:rPr>
        <w:t>, 412-418. doi:10.1016/j.nedt.2015.10.025</w:t>
      </w:r>
    </w:p>
    <w:p w14:paraId="28B40BCC" w14:textId="77777777" w:rsidR="00944659" w:rsidRDefault="004C304A" w:rsidP="004C304A">
      <w:pPr>
        <w:pBdr>
          <w:bottom w:val="single" w:sz="4" w:space="1" w:color="auto"/>
        </w:pBdr>
        <w:spacing w:after="0" w:line="480" w:lineRule="auto"/>
        <w:ind w:left="567" w:hanging="567"/>
        <w:rPr>
          <w:lang w:val="en-CA"/>
        </w:rPr>
      </w:pPr>
      <w:r>
        <w:rPr>
          <w:lang w:val="en-CA"/>
        </w:rPr>
        <w:t xml:space="preserve">Oxford Living Dictionary (2018). </w:t>
      </w:r>
      <w:r w:rsidR="003E1F0C" w:rsidRPr="003E1F0C">
        <w:rPr>
          <w:i/>
          <w:lang w:val="en-CA"/>
        </w:rPr>
        <w:t>Self-care.</w:t>
      </w:r>
      <w:r w:rsidR="003E1F0C">
        <w:rPr>
          <w:lang w:val="en-CA"/>
        </w:rPr>
        <w:t xml:space="preserve"> </w:t>
      </w:r>
      <w:r>
        <w:rPr>
          <w:lang w:val="en-CA"/>
        </w:rPr>
        <w:t>Accessed at</w:t>
      </w:r>
      <w:r w:rsidR="00944659">
        <w:rPr>
          <w:lang w:val="en-CA"/>
        </w:rPr>
        <w:t xml:space="preserve"> </w:t>
      </w:r>
      <w:hyperlink r:id="rId14" w:history="1">
        <w:r w:rsidR="009F6622" w:rsidRPr="004C2FB2">
          <w:rPr>
            <w:rStyle w:val="Hyperlink"/>
            <w:lang w:val="en-CA"/>
          </w:rPr>
          <w:t>https://www.lexico.com/en/definition/self-care</w:t>
        </w:r>
      </w:hyperlink>
    </w:p>
    <w:p w14:paraId="1E3555AC" w14:textId="77777777" w:rsidR="00C059F5" w:rsidRDefault="00C059F5" w:rsidP="00C357E6">
      <w:pPr>
        <w:pBdr>
          <w:bottom w:val="single" w:sz="4" w:space="1" w:color="auto"/>
        </w:pBdr>
        <w:rPr>
          <w:i/>
          <w:color w:val="FF0000"/>
          <w:sz w:val="16"/>
          <w:szCs w:val="16"/>
          <w:lang w:val="en-CA"/>
        </w:rPr>
      </w:pPr>
    </w:p>
    <w:p w14:paraId="7F2462AD" w14:textId="77777777" w:rsidR="002F7A57" w:rsidRPr="004F0AB8" w:rsidRDefault="000F65D8" w:rsidP="002F7A57">
      <w:pPr>
        <w:rPr>
          <w:b/>
          <w:i/>
          <w:lang w:val="en-CA"/>
        </w:rPr>
      </w:pPr>
      <w:r w:rsidRPr="004F0AB8">
        <w:rPr>
          <w:b/>
          <w:i/>
          <w:lang w:val="en-CA"/>
        </w:rPr>
        <w:t xml:space="preserve">NOTE: NESA Policies </w:t>
      </w:r>
      <w:r w:rsidR="00D546C2">
        <w:rPr>
          <w:b/>
          <w:i/>
          <w:lang w:val="en-CA"/>
        </w:rPr>
        <w:t xml:space="preserve">exist within </w:t>
      </w:r>
      <w:r w:rsidR="004F0AB8" w:rsidRPr="004F0AB8">
        <w:rPr>
          <w:b/>
          <w:i/>
          <w:lang w:val="en-CA"/>
        </w:rPr>
        <w:t>organizational framework</w:t>
      </w:r>
      <w:r w:rsidR="00D546C2">
        <w:rPr>
          <w:b/>
          <w:i/>
          <w:lang w:val="en-CA"/>
        </w:rPr>
        <w:t>s</w:t>
      </w:r>
      <w:r w:rsidR="004F0AB8" w:rsidRPr="004F0AB8">
        <w:rPr>
          <w:b/>
          <w:i/>
          <w:lang w:val="en-CA"/>
        </w:rPr>
        <w:t xml:space="preserve"> of po</w:t>
      </w:r>
      <w:r w:rsidR="004F0AB8">
        <w:rPr>
          <w:b/>
          <w:i/>
          <w:lang w:val="en-CA"/>
        </w:rPr>
        <w:t>licy</w:t>
      </w:r>
      <w:r w:rsidR="004F0AB8" w:rsidRPr="004F0AB8">
        <w:rPr>
          <w:b/>
          <w:i/>
          <w:lang w:val="en-CA"/>
        </w:rPr>
        <w:t xml:space="preserve"> for </w:t>
      </w:r>
      <w:r w:rsidR="004F0AB8">
        <w:rPr>
          <w:b/>
          <w:i/>
          <w:lang w:val="en-CA"/>
        </w:rPr>
        <w:t>Lethbridge College and the University of Lethbridge</w:t>
      </w:r>
      <w:r w:rsidR="00C357E6" w:rsidRPr="004F0AB8">
        <w:rPr>
          <w:b/>
          <w:i/>
          <w:lang w:val="en-CA"/>
        </w:rPr>
        <w:t>,</w:t>
      </w:r>
      <w:r w:rsidR="00C357E6">
        <w:rPr>
          <w:b/>
          <w:i/>
          <w:lang w:val="en-CA"/>
        </w:rPr>
        <w:t xml:space="preserve"> and</w:t>
      </w:r>
      <w:r w:rsidR="004F0AB8">
        <w:rPr>
          <w:b/>
          <w:i/>
          <w:lang w:val="en-CA"/>
        </w:rPr>
        <w:t xml:space="preserve"> within agreements established with practice partner organizations.</w:t>
      </w:r>
      <w:r w:rsidR="004F0AB8" w:rsidRPr="004F0AB8">
        <w:rPr>
          <w:b/>
          <w:i/>
          <w:lang w:val="en-CA"/>
        </w:rPr>
        <w:t xml:space="preserve"> </w:t>
      </w:r>
      <w:r w:rsidR="00C357E6">
        <w:rPr>
          <w:b/>
          <w:i/>
          <w:lang w:val="en-CA"/>
        </w:rPr>
        <w:t>If and when</w:t>
      </w:r>
      <w:r w:rsidR="004F0AB8">
        <w:rPr>
          <w:b/>
          <w:i/>
          <w:lang w:val="en-CA"/>
        </w:rPr>
        <w:t xml:space="preserve"> NESA policies are found to differ from such policies and agreements,</w:t>
      </w:r>
      <w:r w:rsidR="00C357E6">
        <w:rPr>
          <w:b/>
          <w:i/>
          <w:lang w:val="en-CA"/>
        </w:rPr>
        <w:t xml:space="preserve"> it is important to note that</w:t>
      </w:r>
      <w:r w:rsidR="004F0AB8">
        <w:rPr>
          <w:b/>
          <w:i/>
          <w:lang w:val="en-CA"/>
        </w:rPr>
        <w:t xml:space="preserve"> </w:t>
      </w:r>
      <w:r w:rsidR="00C357E6">
        <w:rPr>
          <w:b/>
          <w:i/>
          <w:lang w:val="en-CA"/>
        </w:rPr>
        <w:t xml:space="preserve">such policies/agreements will take precedence over NESA </w:t>
      </w:r>
      <w:r w:rsidR="00912A7F">
        <w:rPr>
          <w:b/>
          <w:i/>
          <w:lang w:val="en-CA"/>
        </w:rPr>
        <w:t>guidelines or</w:t>
      </w:r>
      <w:r w:rsidR="00C357E6">
        <w:rPr>
          <w:b/>
          <w:i/>
          <w:lang w:val="en-CA"/>
        </w:rPr>
        <w:t xml:space="preserve"> policies.</w:t>
      </w:r>
    </w:p>
    <w:p w14:paraId="31EA73B8" w14:textId="77777777" w:rsidR="002F7A57" w:rsidRDefault="002F7A57" w:rsidP="002F7A57">
      <w:pPr>
        <w:rPr>
          <w:i/>
          <w:color w:val="FF0000"/>
          <w:sz w:val="16"/>
          <w:szCs w:val="16"/>
          <w:lang w:val="en-CA"/>
        </w:rPr>
      </w:pPr>
    </w:p>
    <w:p w14:paraId="0A6630D7" w14:textId="77777777"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Pr>
      <w:tblGrid>
        <w:gridCol w:w="4674"/>
        <w:gridCol w:w="4676"/>
      </w:tblGrid>
      <w:tr w:rsidR="00492D13" w14:paraId="32760E50" w14:textId="77777777" w:rsidTr="00993717">
        <w:tc>
          <w:tcPr>
            <w:tcW w:w="4674" w:type="dxa"/>
          </w:tcPr>
          <w:p w14:paraId="0D6C572A" w14:textId="77777777" w:rsidR="00492D13" w:rsidRPr="00AD2783" w:rsidRDefault="00AD2783" w:rsidP="007C1AA4">
            <w:pPr>
              <w:rPr>
                <w:b/>
                <w:lang w:val="en-CA"/>
              </w:rPr>
            </w:pPr>
            <w:r>
              <w:rPr>
                <w:b/>
                <w:lang w:val="en-CA"/>
              </w:rPr>
              <w:t>Revised By/d</w:t>
            </w:r>
            <w:r w:rsidR="006F5E3D" w:rsidRPr="006F5E3D">
              <w:rPr>
                <w:b/>
                <w:lang w:val="en-CA"/>
              </w:rPr>
              <w:t>ate</w:t>
            </w:r>
            <w:r w:rsidR="00492D13" w:rsidRPr="006F5E3D">
              <w:rPr>
                <w:b/>
                <w:lang w:val="en-CA"/>
              </w:rPr>
              <w:t>:</w:t>
            </w:r>
          </w:p>
        </w:tc>
        <w:tc>
          <w:tcPr>
            <w:tcW w:w="4676" w:type="dxa"/>
          </w:tcPr>
          <w:p w14:paraId="10589C6F" w14:textId="77777777" w:rsidR="00492D13" w:rsidRDefault="006F5E3D" w:rsidP="006F5E3D">
            <w:pPr>
              <w:rPr>
                <w:lang w:val="en-CA"/>
              </w:rPr>
            </w:pPr>
            <w:r>
              <w:rPr>
                <w:b/>
                <w:lang w:val="en-CA"/>
              </w:rPr>
              <w:t>Approved by/date</w:t>
            </w:r>
            <w:r w:rsidR="00AD2783">
              <w:rPr>
                <w:b/>
                <w:lang w:val="en-CA"/>
              </w:rPr>
              <w:t>:</w:t>
            </w:r>
          </w:p>
        </w:tc>
      </w:tr>
      <w:tr w:rsidR="00AD2783" w14:paraId="42A2BE77" w14:textId="77777777" w:rsidTr="00993717">
        <w:tc>
          <w:tcPr>
            <w:tcW w:w="4674" w:type="dxa"/>
          </w:tcPr>
          <w:p w14:paraId="760FF18B" w14:textId="77777777" w:rsidR="00AD2783" w:rsidRPr="00912A7F" w:rsidRDefault="00912A7F" w:rsidP="00FA5EC6">
            <w:pPr>
              <w:rPr>
                <w:lang w:val="en-CA"/>
              </w:rPr>
            </w:pPr>
            <w:r w:rsidRPr="00912A7F">
              <w:rPr>
                <w:lang w:val="en-CA"/>
              </w:rPr>
              <w:t>Policy Review Committee: March 2019</w:t>
            </w:r>
          </w:p>
        </w:tc>
        <w:tc>
          <w:tcPr>
            <w:tcW w:w="4676" w:type="dxa"/>
          </w:tcPr>
          <w:p w14:paraId="5CB26392" w14:textId="77777777" w:rsidR="00AD2783" w:rsidRPr="000809E1" w:rsidRDefault="000809E1" w:rsidP="006F5E3D">
            <w:pPr>
              <w:rPr>
                <w:lang w:val="en-CA"/>
              </w:rPr>
            </w:pPr>
            <w:r w:rsidRPr="000809E1">
              <w:rPr>
                <w:lang w:val="en-CA"/>
              </w:rPr>
              <w:t>NESA Joint Facult</w:t>
            </w:r>
            <w:r>
              <w:rPr>
                <w:lang w:val="en-CA"/>
              </w:rPr>
              <w:t>y</w:t>
            </w:r>
            <w:r w:rsidR="00A6469C">
              <w:rPr>
                <w:lang w:val="en-CA"/>
              </w:rPr>
              <w:t xml:space="preserve"> Council</w:t>
            </w:r>
            <w:r w:rsidRPr="000809E1">
              <w:rPr>
                <w:lang w:val="en-CA"/>
              </w:rPr>
              <w:t>: May 22, 2019</w:t>
            </w:r>
          </w:p>
        </w:tc>
      </w:tr>
      <w:tr w:rsidR="00AD2783" w14:paraId="10DA1F23" w14:textId="77777777" w:rsidTr="00993717">
        <w:tc>
          <w:tcPr>
            <w:tcW w:w="4674" w:type="dxa"/>
          </w:tcPr>
          <w:p w14:paraId="7871C0AE" w14:textId="77777777" w:rsidR="00AD2783" w:rsidRPr="005E656F" w:rsidRDefault="005E656F" w:rsidP="00FA5EC6">
            <w:pPr>
              <w:rPr>
                <w:bCs/>
                <w:lang w:val="en-CA"/>
              </w:rPr>
            </w:pPr>
            <w:r>
              <w:rPr>
                <w:bCs/>
                <w:lang w:val="en-CA"/>
              </w:rPr>
              <w:t>Policy Review Committee: December 2019</w:t>
            </w:r>
          </w:p>
        </w:tc>
        <w:tc>
          <w:tcPr>
            <w:tcW w:w="4676" w:type="dxa"/>
          </w:tcPr>
          <w:p w14:paraId="3EF9D12A" w14:textId="77777777" w:rsidR="00AD2783" w:rsidRPr="005E656F" w:rsidRDefault="005E656F" w:rsidP="006F5E3D">
            <w:pPr>
              <w:rPr>
                <w:bCs/>
                <w:lang w:val="en-CA"/>
              </w:rPr>
            </w:pPr>
            <w:r>
              <w:rPr>
                <w:bCs/>
                <w:lang w:val="en-CA"/>
              </w:rPr>
              <w:t>Not Required: editorial/link update</w:t>
            </w:r>
          </w:p>
        </w:tc>
      </w:tr>
      <w:tr w:rsidR="00993717" w14:paraId="75492690" w14:textId="77777777" w:rsidTr="00993717">
        <w:tc>
          <w:tcPr>
            <w:tcW w:w="4674" w:type="dxa"/>
          </w:tcPr>
          <w:p w14:paraId="0229872F" w14:textId="28737B20" w:rsidR="00993717" w:rsidRDefault="00993717" w:rsidP="00FA5EC6">
            <w:pPr>
              <w:rPr>
                <w:bCs/>
                <w:lang w:val="en-CA"/>
              </w:rPr>
            </w:pPr>
            <w:r>
              <w:rPr>
                <w:bCs/>
                <w:lang w:val="en-CA"/>
              </w:rPr>
              <w:t>Policy Review Committee: November 2020</w:t>
            </w:r>
          </w:p>
        </w:tc>
        <w:tc>
          <w:tcPr>
            <w:tcW w:w="4676" w:type="dxa"/>
          </w:tcPr>
          <w:p w14:paraId="0E33D398" w14:textId="473527B6" w:rsidR="00993717" w:rsidRDefault="00993717" w:rsidP="006F5E3D">
            <w:pPr>
              <w:rPr>
                <w:bCs/>
                <w:lang w:val="en-CA"/>
              </w:rPr>
            </w:pPr>
            <w:r>
              <w:rPr>
                <w:bCs/>
                <w:lang w:val="en-CA"/>
              </w:rPr>
              <w:t>Not Required: editorial changes</w:t>
            </w:r>
          </w:p>
        </w:tc>
      </w:tr>
    </w:tbl>
    <w:p w14:paraId="74FE001F" w14:textId="5D414110" w:rsidR="008D52E8" w:rsidRPr="00FA5EC6" w:rsidRDefault="008D52E8" w:rsidP="00FA5EC6">
      <w:pPr>
        <w:rPr>
          <w:lang w:val="en-CA"/>
        </w:rPr>
      </w:pPr>
    </w:p>
    <w:sectPr w:rsidR="008D52E8" w:rsidRPr="00FA5EC6" w:rsidSect="00101B3A">
      <w:headerReference w:type="even" r:id="rId15"/>
      <w:headerReference w:type="default" r:id="rId16"/>
      <w:head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51A6" w14:textId="77777777" w:rsidR="00F32CEE" w:rsidRDefault="00F32CEE" w:rsidP="00BC28E4">
      <w:pPr>
        <w:spacing w:after="0" w:line="240" w:lineRule="auto"/>
      </w:pPr>
      <w:r>
        <w:separator/>
      </w:r>
    </w:p>
  </w:endnote>
  <w:endnote w:type="continuationSeparator" w:id="0">
    <w:p w14:paraId="3CDE2271" w14:textId="77777777" w:rsidR="00F32CEE" w:rsidRDefault="00F32CEE"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BA54" w14:textId="77777777" w:rsidR="00F32CEE" w:rsidRDefault="00F32CEE" w:rsidP="00BC28E4">
      <w:pPr>
        <w:spacing w:after="0" w:line="240" w:lineRule="auto"/>
      </w:pPr>
      <w:r>
        <w:separator/>
      </w:r>
    </w:p>
  </w:footnote>
  <w:footnote w:type="continuationSeparator" w:id="0">
    <w:p w14:paraId="3765F8E0" w14:textId="77777777" w:rsidR="00F32CEE" w:rsidRDefault="00F32CEE"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CBA7" w14:textId="77777777" w:rsidR="0082226F" w:rsidRDefault="00822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49D6" w14:textId="77777777" w:rsidR="00BC28E4" w:rsidRDefault="00BC28E4">
    <w:pPr>
      <w:pStyle w:val="Header"/>
    </w:pPr>
  </w:p>
  <w:p w14:paraId="7B1674EC" w14:textId="77777777" w:rsidR="00BC28E4" w:rsidRPr="00BC28E4" w:rsidRDefault="00BC28E4">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F085" w14:textId="77777777" w:rsidR="0082226F" w:rsidRDefault="00822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64F94"/>
    <w:multiLevelType w:val="hybridMultilevel"/>
    <w:tmpl w:val="C662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273D6"/>
    <w:multiLevelType w:val="hybridMultilevel"/>
    <w:tmpl w:val="722439CC"/>
    <w:lvl w:ilvl="0" w:tplc="D33412CA">
      <w:start w:val="1"/>
      <w:numFmt w:val="decimal"/>
      <w:lvlText w:val="%1."/>
      <w:lvlJc w:val="left"/>
      <w:pPr>
        <w:ind w:left="720" w:hanging="360"/>
      </w:pPr>
      <w:rPr>
        <w:rFonts w:hint="default"/>
        <w:b w:val="0"/>
      </w:rPr>
    </w:lvl>
    <w:lvl w:ilvl="1" w:tplc="ACE200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8" w15:restartNumberingAfterBreak="0">
    <w:nsid w:val="355A7898"/>
    <w:multiLevelType w:val="hybridMultilevel"/>
    <w:tmpl w:val="D11E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F34760A"/>
    <w:multiLevelType w:val="hybridMultilevel"/>
    <w:tmpl w:val="66CE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32EB"/>
    <w:multiLevelType w:val="hybridMultilevel"/>
    <w:tmpl w:val="93E8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C0C83"/>
    <w:multiLevelType w:val="hybridMultilevel"/>
    <w:tmpl w:val="76B0D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EB73AA"/>
    <w:multiLevelType w:val="hybridMultilevel"/>
    <w:tmpl w:val="2CD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B663D"/>
    <w:multiLevelType w:val="hybridMultilevel"/>
    <w:tmpl w:val="4A6C724A"/>
    <w:lvl w:ilvl="0" w:tplc="4EEE83A8">
      <w:start w:val="1"/>
      <w:numFmt w:val="decimal"/>
      <w:lvlText w:val="%1."/>
      <w:lvlJc w:val="left"/>
      <w:pPr>
        <w:ind w:left="709" w:hanging="360"/>
      </w:pPr>
      <w:rPr>
        <w:rFonts w:hint="default"/>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E37"/>
    <w:multiLevelType w:val="hybridMultilevel"/>
    <w:tmpl w:val="E13A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0"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1"/>
  </w:num>
  <w:num w:numId="4">
    <w:abstractNumId w:val="19"/>
  </w:num>
  <w:num w:numId="5">
    <w:abstractNumId w:val="4"/>
  </w:num>
  <w:num w:numId="6">
    <w:abstractNumId w:val="17"/>
  </w:num>
  <w:num w:numId="7">
    <w:abstractNumId w:val="7"/>
  </w:num>
  <w:num w:numId="8">
    <w:abstractNumId w:val="20"/>
  </w:num>
  <w:num w:numId="9">
    <w:abstractNumId w:val="3"/>
  </w:num>
  <w:num w:numId="10">
    <w:abstractNumId w:val="0"/>
  </w:num>
  <w:num w:numId="11">
    <w:abstractNumId w:val="2"/>
  </w:num>
  <w:num w:numId="12">
    <w:abstractNumId w:val="9"/>
  </w:num>
  <w:num w:numId="13">
    <w:abstractNumId w:val="13"/>
  </w:num>
  <w:num w:numId="14">
    <w:abstractNumId w:val="5"/>
  </w:num>
  <w:num w:numId="15">
    <w:abstractNumId w:val="18"/>
  </w:num>
  <w:num w:numId="16">
    <w:abstractNumId w:val="8"/>
  </w:num>
  <w:num w:numId="17">
    <w:abstractNumId w:val="6"/>
  </w:num>
  <w:num w:numId="18">
    <w:abstractNumId w:val="11"/>
  </w:num>
  <w:num w:numId="19">
    <w:abstractNumId w:val="1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11347"/>
    <w:rsid w:val="0002181C"/>
    <w:rsid w:val="00055023"/>
    <w:rsid w:val="000809E1"/>
    <w:rsid w:val="00081270"/>
    <w:rsid w:val="000C6769"/>
    <w:rsid w:val="000E70D4"/>
    <w:rsid w:val="000F357B"/>
    <w:rsid w:val="000F65D8"/>
    <w:rsid w:val="00101B3A"/>
    <w:rsid w:val="001150CF"/>
    <w:rsid w:val="00115DF9"/>
    <w:rsid w:val="0012499E"/>
    <w:rsid w:val="00127C70"/>
    <w:rsid w:val="00131B7E"/>
    <w:rsid w:val="0019187D"/>
    <w:rsid w:val="00193831"/>
    <w:rsid w:val="00195A5B"/>
    <w:rsid w:val="001B10FE"/>
    <w:rsid w:val="001B15EF"/>
    <w:rsid w:val="001B542B"/>
    <w:rsid w:val="001C246C"/>
    <w:rsid w:val="001C2AC8"/>
    <w:rsid w:val="001C43EB"/>
    <w:rsid w:val="001D3EC3"/>
    <w:rsid w:val="001D5CE6"/>
    <w:rsid w:val="001E45E5"/>
    <w:rsid w:val="001E6B99"/>
    <w:rsid w:val="001F4066"/>
    <w:rsid w:val="001F6256"/>
    <w:rsid w:val="001F6E37"/>
    <w:rsid w:val="002852B3"/>
    <w:rsid w:val="002866C1"/>
    <w:rsid w:val="00287AE3"/>
    <w:rsid w:val="00292C54"/>
    <w:rsid w:val="002972E8"/>
    <w:rsid w:val="002B618F"/>
    <w:rsid w:val="002D078B"/>
    <w:rsid w:val="002E0538"/>
    <w:rsid w:val="002E21DD"/>
    <w:rsid w:val="002F7A57"/>
    <w:rsid w:val="003050FE"/>
    <w:rsid w:val="00306645"/>
    <w:rsid w:val="00321287"/>
    <w:rsid w:val="003309E2"/>
    <w:rsid w:val="00341F58"/>
    <w:rsid w:val="00342EE4"/>
    <w:rsid w:val="003B6472"/>
    <w:rsid w:val="003E05A6"/>
    <w:rsid w:val="003E1F0C"/>
    <w:rsid w:val="003E6D07"/>
    <w:rsid w:val="004104AF"/>
    <w:rsid w:val="00441238"/>
    <w:rsid w:val="00442B53"/>
    <w:rsid w:val="00451949"/>
    <w:rsid w:val="00472D7B"/>
    <w:rsid w:val="00492D13"/>
    <w:rsid w:val="004B4DBA"/>
    <w:rsid w:val="004B72F6"/>
    <w:rsid w:val="004C304A"/>
    <w:rsid w:val="004F0AB8"/>
    <w:rsid w:val="004F40E5"/>
    <w:rsid w:val="00500E5C"/>
    <w:rsid w:val="00511526"/>
    <w:rsid w:val="00515020"/>
    <w:rsid w:val="00515838"/>
    <w:rsid w:val="00525226"/>
    <w:rsid w:val="005420F6"/>
    <w:rsid w:val="00555ECF"/>
    <w:rsid w:val="00563D19"/>
    <w:rsid w:val="005660E9"/>
    <w:rsid w:val="00573EA6"/>
    <w:rsid w:val="005D0D77"/>
    <w:rsid w:val="005D303A"/>
    <w:rsid w:val="005D3D1B"/>
    <w:rsid w:val="005D7F38"/>
    <w:rsid w:val="005E656F"/>
    <w:rsid w:val="005E7976"/>
    <w:rsid w:val="005F031C"/>
    <w:rsid w:val="005F0628"/>
    <w:rsid w:val="0060008A"/>
    <w:rsid w:val="00612399"/>
    <w:rsid w:val="00622C25"/>
    <w:rsid w:val="00653DE6"/>
    <w:rsid w:val="00655E44"/>
    <w:rsid w:val="00657F0A"/>
    <w:rsid w:val="0066077E"/>
    <w:rsid w:val="00664B5C"/>
    <w:rsid w:val="00693F67"/>
    <w:rsid w:val="006957DC"/>
    <w:rsid w:val="006A7B8C"/>
    <w:rsid w:val="006B545D"/>
    <w:rsid w:val="006E5B22"/>
    <w:rsid w:val="006F5E3D"/>
    <w:rsid w:val="006F5EED"/>
    <w:rsid w:val="007109A2"/>
    <w:rsid w:val="007150B6"/>
    <w:rsid w:val="00725527"/>
    <w:rsid w:val="00744CCD"/>
    <w:rsid w:val="007547B7"/>
    <w:rsid w:val="00756911"/>
    <w:rsid w:val="00781978"/>
    <w:rsid w:val="00794A30"/>
    <w:rsid w:val="00797F80"/>
    <w:rsid w:val="007B447A"/>
    <w:rsid w:val="007C1AA4"/>
    <w:rsid w:val="007C4482"/>
    <w:rsid w:val="007D00C7"/>
    <w:rsid w:val="007E4776"/>
    <w:rsid w:val="0080027A"/>
    <w:rsid w:val="008045B5"/>
    <w:rsid w:val="008103F1"/>
    <w:rsid w:val="00816695"/>
    <w:rsid w:val="0082226F"/>
    <w:rsid w:val="00823B44"/>
    <w:rsid w:val="00833FB7"/>
    <w:rsid w:val="00874C0A"/>
    <w:rsid w:val="00894084"/>
    <w:rsid w:val="008A4A96"/>
    <w:rsid w:val="008D52E8"/>
    <w:rsid w:val="008F1534"/>
    <w:rsid w:val="00902E13"/>
    <w:rsid w:val="0091221E"/>
    <w:rsid w:val="00912A7F"/>
    <w:rsid w:val="00944659"/>
    <w:rsid w:val="00954EBC"/>
    <w:rsid w:val="00963D43"/>
    <w:rsid w:val="00993717"/>
    <w:rsid w:val="00993AC4"/>
    <w:rsid w:val="009A21FA"/>
    <w:rsid w:val="009B1661"/>
    <w:rsid w:val="009D0BB4"/>
    <w:rsid w:val="009D3BD5"/>
    <w:rsid w:val="009F0447"/>
    <w:rsid w:val="009F4395"/>
    <w:rsid w:val="009F6622"/>
    <w:rsid w:val="009F6E6F"/>
    <w:rsid w:val="00A1244E"/>
    <w:rsid w:val="00A63A30"/>
    <w:rsid w:val="00A6469C"/>
    <w:rsid w:val="00A747A0"/>
    <w:rsid w:val="00A9336D"/>
    <w:rsid w:val="00A97C17"/>
    <w:rsid w:val="00AB0118"/>
    <w:rsid w:val="00AB24AA"/>
    <w:rsid w:val="00AD2783"/>
    <w:rsid w:val="00AE060F"/>
    <w:rsid w:val="00AE233A"/>
    <w:rsid w:val="00AE6E18"/>
    <w:rsid w:val="00AF490B"/>
    <w:rsid w:val="00B00203"/>
    <w:rsid w:val="00B034E3"/>
    <w:rsid w:val="00B10D75"/>
    <w:rsid w:val="00B12B60"/>
    <w:rsid w:val="00B15D2D"/>
    <w:rsid w:val="00B413A8"/>
    <w:rsid w:val="00B45E77"/>
    <w:rsid w:val="00B50B12"/>
    <w:rsid w:val="00B55C8F"/>
    <w:rsid w:val="00B908DC"/>
    <w:rsid w:val="00BA2E33"/>
    <w:rsid w:val="00BB23AC"/>
    <w:rsid w:val="00BC28E4"/>
    <w:rsid w:val="00BC5B87"/>
    <w:rsid w:val="00BD7BB4"/>
    <w:rsid w:val="00BE0AC3"/>
    <w:rsid w:val="00BE1262"/>
    <w:rsid w:val="00BF0994"/>
    <w:rsid w:val="00C059F5"/>
    <w:rsid w:val="00C27104"/>
    <w:rsid w:val="00C272C3"/>
    <w:rsid w:val="00C323AD"/>
    <w:rsid w:val="00C357E6"/>
    <w:rsid w:val="00C55E6B"/>
    <w:rsid w:val="00C746A2"/>
    <w:rsid w:val="00CB0693"/>
    <w:rsid w:val="00CC3B91"/>
    <w:rsid w:val="00CC4073"/>
    <w:rsid w:val="00CF02BA"/>
    <w:rsid w:val="00D03BC7"/>
    <w:rsid w:val="00D132AD"/>
    <w:rsid w:val="00D24B91"/>
    <w:rsid w:val="00D36DE8"/>
    <w:rsid w:val="00D371B3"/>
    <w:rsid w:val="00D546C2"/>
    <w:rsid w:val="00D6247B"/>
    <w:rsid w:val="00D75385"/>
    <w:rsid w:val="00D76687"/>
    <w:rsid w:val="00D76737"/>
    <w:rsid w:val="00D822E5"/>
    <w:rsid w:val="00D84246"/>
    <w:rsid w:val="00DA48EB"/>
    <w:rsid w:val="00DC7A48"/>
    <w:rsid w:val="00DD1DBB"/>
    <w:rsid w:val="00DD6AFF"/>
    <w:rsid w:val="00E02380"/>
    <w:rsid w:val="00E12E1C"/>
    <w:rsid w:val="00E222E0"/>
    <w:rsid w:val="00E41F9D"/>
    <w:rsid w:val="00E425B7"/>
    <w:rsid w:val="00E44A1B"/>
    <w:rsid w:val="00E44CEB"/>
    <w:rsid w:val="00EF7490"/>
    <w:rsid w:val="00F07B64"/>
    <w:rsid w:val="00F26BFF"/>
    <w:rsid w:val="00F27C52"/>
    <w:rsid w:val="00F3138E"/>
    <w:rsid w:val="00F32CEE"/>
    <w:rsid w:val="00F76DDD"/>
    <w:rsid w:val="00F82807"/>
    <w:rsid w:val="00FA5EC6"/>
    <w:rsid w:val="00FA748C"/>
    <w:rsid w:val="00FB73C4"/>
    <w:rsid w:val="00FF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673AF"/>
  <w15:docId w15:val="{8EA34A55-513F-4234-94A5-F32C9F49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D1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944659"/>
    <w:rPr>
      <w:sz w:val="16"/>
      <w:szCs w:val="16"/>
    </w:rPr>
  </w:style>
  <w:style w:type="paragraph" w:styleId="CommentText">
    <w:name w:val="annotation text"/>
    <w:basedOn w:val="Normal"/>
    <w:link w:val="CommentTextChar"/>
    <w:uiPriority w:val="99"/>
    <w:semiHidden/>
    <w:unhideWhenUsed/>
    <w:rsid w:val="00944659"/>
    <w:pPr>
      <w:spacing w:line="240" w:lineRule="auto"/>
    </w:pPr>
    <w:rPr>
      <w:sz w:val="20"/>
      <w:szCs w:val="20"/>
    </w:rPr>
  </w:style>
  <w:style w:type="character" w:customStyle="1" w:styleId="CommentTextChar">
    <w:name w:val="Comment Text Char"/>
    <w:basedOn w:val="DefaultParagraphFont"/>
    <w:link w:val="CommentText"/>
    <w:uiPriority w:val="99"/>
    <w:semiHidden/>
    <w:rsid w:val="00944659"/>
    <w:rPr>
      <w:sz w:val="20"/>
      <w:szCs w:val="20"/>
    </w:rPr>
  </w:style>
  <w:style w:type="paragraph" w:styleId="CommentSubject">
    <w:name w:val="annotation subject"/>
    <w:basedOn w:val="CommentText"/>
    <w:next w:val="CommentText"/>
    <w:link w:val="CommentSubjectChar"/>
    <w:uiPriority w:val="99"/>
    <w:semiHidden/>
    <w:unhideWhenUsed/>
    <w:rsid w:val="00944659"/>
    <w:rPr>
      <w:b/>
      <w:bCs/>
    </w:rPr>
  </w:style>
  <w:style w:type="character" w:customStyle="1" w:styleId="CommentSubjectChar">
    <w:name w:val="Comment Subject Char"/>
    <w:basedOn w:val="CommentTextChar"/>
    <w:link w:val="CommentSubject"/>
    <w:uiPriority w:val="99"/>
    <w:semiHidden/>
    <w:rsid w:val="00944659"/>
    <w:rPr>
      <w:b/>
      <w:bCs/>
      <w:sz w:val="20"/>
      <w:szCs w:val="20"/>
    </w:rPr>
  </w:style>
  <w:style w:type="character" w:customStyle="1" w:styleId="UnresolvedMention1">
    <w:name w:val="Unresolved Mention1"/>
    <w:basedOn w:val="DefaultParagraphFont"/>
    <w:uiPriority w:val="99"/>
    <w:semiHidden/>
    <w:unhideWhenUsed/>
    <w:rsid w:val="0082226F"/>
    <w:rPr>
      <w:color w:val="605E5C"/>
      <w:shd w:val="clear" w:color="auto" w:fill="E1DFDD"/>
    </w:rPr>
  </w:style>
  <w:style w:type="character" w:customStyle="1" w:styleId="Heading1Char">
    <w:name w:val="Heading 1 Char"/>
    <w:basedOn w:val="DefaultParagraphFont"/>
    <w:link w:val="Heading1"/>
    <w:uiPriority w:val="9"/>
    <w:rsid w:val="00563D1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63D19"/>
  </w:style>
  <w:style w:type="paragraph" w:styleId="NormalWeb">
    <w:name w:val="Normal (Web)"/>
    <w:basedOn w:val="Normal"/>
    <w:uiPriority w:val="99"/>
    <w:semiHidden/>
    <w:unhideWhenUsed/>
    <w:rsid w:val="00874C0A"/>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A2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6533">
      <w:bodyDiv w:val="1"/>
      <w:marLeft w:val="0"/>
      <w:marRight w:val="0"/>
      <w:marTop w:val="0"/>
      <w:marBottom w:val="0"/>
      <w:divBdr>
        <w:top w:val="none" w:sz="0" w:space="0" w:color="auto"/>
        <w:left w:val="none" w:sz="0" w:space="0" w:color="auto"/>
        <w:bottom w:val="none" w:sz="0" w:space="0" w:color="auto"/>
        <w:right w:val="none" w:sz="0" w:space="0" w:color="auto"/>
      </w:divBdr>
    </w:div>
    <w:div w:id="335619981">
      <w:bodyDiv w:val="1"/>
      <w:marLeft w:val="0"/>
      <w:marRight w:val="0"/>
      <w:marTop w:val="0"/>
      <w:marBottom w:val="0"/>
      <w:divBdr>
        <w:top w:val="none" w:sz="0" w:space="0" w:color="auto"/>
        <w:left w:val="none" w:sz="0" w:space="0" w:color="auto"/>
        <w:bottom w:val="none" w:sz="0" w:space="0" w:color="auto"/>
        <w:right w:val="none" w:sz="0" w:space="0" w:color="auto"/>
      </w:divBdr>
    </w:div>
    <w:div w:id="938875393">
      <w:bodyDiv w:val="1"/>
      <w:marLeft w:val="0"/>
      <w:marRight w:val="0"/>
      <w:marTop w:val="0"/>
      <w:marBottom w:val="0"/>
      <w:divBdr>
        <w:top w:val="none" w:sz="0" w:space="0" w:color="auto"/>
        <w:left w:val="none" w:sz="0" w:space="0" w:color="auto"/>
        <w:bottom w:val="none" w:sz="0" w:space="0" w:color="auto"/>
        <w:right w:val="none" w:sz="0" w:space="0" w:color="auto"/>
      </w:divBdr>
    </w:div>
    <w:div w:id="1096100833">
      <w:bodyDiv w:val="1"/>
      <w:marLeft w:val="0"/>
      <w:marRight w:val="0"/>
      <w:marTop w:val="0"/>
      <w:marBottom w:val="0"/>
      <w:divBdr>
        <w:top w:val="none" w:sz="0" w:space="0" w:color="auto"/>
        <w:left w:val="none" w:sz="0" w:space="0" w:color="auto"/>
        <w:bottom w:val="none" w:sz="0" w:space="0" w:color="auto"/>
        <w:right w:val="none" w:sz="0" w:space="0" w:color="auto"/>
      </w:divBdr>
    </w:div>
    <w:div w:id="1116869068">
      <w:bodyDiv w:val="1"/>
      <w:marLeft w:val="0"/>
      <w:marRight w:val="0"/>
      <w:marTop w:val="0"/>
      <w:marBottom w:val="0"/>
      <w:divBdr>
        <w:top w:val="none" w:sz="0" w:space="0" w:color="auto"/>
        <w:left w:val="none" w:sz="0" w:space="0" w:color="auto"/>
        <w:bottom w:val="none" w:sz="0" w:space="0" w:color="auto"/>
        <w:right w:val="none" w:sz="0" w:space="0" w:color="auto"/>
      </w:divBdr>
    </w:div>
    <w:div w:id="1599101177">
      <w:bodyDiv w:val="1"/>
      <w:marLeft w:val="0"/>
      <w:marRight w:val="0"/>
      <w:marTop w:val="0"/>
      <w:marBottom w:val="0"/>
      <w:divBdr>
        <w:top w:val="none" w:sz="0" w:space="0" w:color="auto"/>
        <w:left w:val="none" w:sz="0" w:space="0" w:color="auto"/>
        <w:bottom w:val="none" w:sz="0" w:space="0" w:color="auto"/>
        <w:right w:val="none" w:sz="0" w:space="0" w:color="auto"/>
      </w:divBdr>
    </w:div>
    <w:div w:id="1697194237">
      <w:bodyDiv w:val="1"/>
      <w:marLeft w:val="0"/>
      <w:marRight w:val="0"/>
      <w:marTop w:val="0"/>
      <w:marBottom w:val="0"/>
      <w:divBdr>
        <w:top w:val="none" w:sz="0" w:space="0" w:color="auto"/>
        <w:left w:val="none" w:sz="0" w:space="0" w:color="auto"/>
        <w:bottom w:val="none" w:sz="0" w:space="0" w:color="auto"/>
        <w:right w:val="none" w:sz="0" w:space="0" w:color="auto"/>
      </w:divBdr>
    </w:div>
    <w:div w:id="1770003811">
      <w:bodyDiv w:val="1"/>
      <w:marLeft w:val="0"/>
      <w:marRight w:val="0"/>
      <w:marTop w:val="0"/>
      <w:marBottom w:val="0"/>
      <w:divBdr>
        <w:top w:val="none" w:sz="0" w:space="0" w:color="auto"/>
        <w:left w:val="none" w:sz="0" w:space="0" w:color="auto"/>
        <w:bottom w:val="none" w:sz="0" w:space="0" w:color="auto"/>
        <w:right w:val="none" w:sz="0" w:space="0" w:color="auto"/>
      </w:divBdr>
    </w:div>
    <w:div w:id="1823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a-aiic.ca/~/media/cna/page-content/pdf-en/code-of-ethics-2017-edition-secure-interact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humanrights.ab.ca/Documents/Bull_DutytoAccom_web.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hbridgecollege.ca/current-stud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leth.ca/services-for-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bertahumanrights.ab.ca/publications/bulletins_sheets_booklets/sheets/history_and_info/Pages/protected_areas_grounds.aspx" TargetMode="External"/><Relationship Id="rId14" Type="http://schemas.openxmlformats.org/officeDocument/2006/relationships/hyperlink" Target="https://www.lexico.com/en/definition/sel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b:Source>
    <b:Tag>CNA17</b:Tag>
    <b:SourceType>Report</b:SourceType>
    <b:Guid>{CC22B2DC-AF3A-4F00-8864-163D534A9803}</b:Guid>
    <b:Title>Code of ethics for registered nurses</b:Title>
    <b:Year>2017</b:Year>
    <b:Publisher>Canadian Nurses Association</b:Publisher>
    <b:City>Ottawa, ON</b:City>
    <b:Author>
      <b:Author>
        <b:Corporate>CNA</b:Corporate>
      </b:Author>
    </b:Author>
    <b:URL>https://www.cna-aiic.ca/~/media/cna/page-content/pdf-en/code-of-ethics-2017-edition-secure-interactive</b:URL>
    <b:Edition>2017</b:Edition>
    <b:RefOrder>1</b:RefOrder>
  </b:Source>
  <b:Source>
    <b:Tag>Jes16</b:Tag>
    <b:SourceType>JournalArticle</b:SourceType>
    <b:Guid>{45613081-1FDE-4A59-939B-A2A92465D2F3}</b:Guid>
    <b:Title>Understanding pre-registration nursing fitness to practise processes</b:Title>
    <b:Year>2016</b:Year>
    <b:JournalName>Nurse Education Today</b:JournalName>
    <b:Pages>412-418</b:Pages>
    <b:Author>
      <b:Author>
        <b:NameList>
          <b:Person>
            <b:Last>MacLaren</b:Last>
            <b:First>Jessica</b:First>
          </b:Person>
          <b:Person>
            <b:Last>Haycock-Stuart</b:Last>
            <b:First>Elaine</b:First>
          </b:Person>
          <b:Person>
            <b:Last>McLachlan</b:Last>
            <b:First>Alison</b:First>
          </b:Person>
          <b:Person>
            <b:Last>James</b:Last>
            <b:First>Christine</b:First>
          </b:Person>
        </b:NameList>
      </b:Author>
    </b:Author>
    <b:Volume>36</b:Volume>
    <b:DOI>10.1016/j.nedt.2015.10.025</b:DOI>
    <b:RefOrder>2</b:RefOrder>
  </b:Source>
  <b:Source>
    <b:Tag>Alb10</b:Tag>
    <b:SourceType>Report</b:SourceType>
    <b:Guid>{352FD06F-C8B9-4A3B-B494-5A941D5F0534}</b:Guid>
    <b:Title>Duty to accommodate: Interpretive bulletin</b:Title>
    <b:Year>2010</b:Year>
    <b:Author>
      <b:Author>
        <b:Corporate>Alberta Human Rights Commission</b:Corporate>
      </b:Author>
    </b:Author>
    <b:URL>https://www.albertahumanrights.ab.ca/Documents/Bull_DutytoAccom_web.pdf</b:URL>
    <b:YearAccessed>2019</b:YearAccessed>
    <b:MonthAccessed>March</b:MonthAccessed>
    <b:DayAccessed>11</b:DayAccessed>
    <b:Publisher>Alberta Human Rights Commission</b:Publisher>
    <b:City>Edmonton, AB</b:City>
    <b:RefOrder>3</b:RefOrder>
  </b:Source>
</b:Sources>
</file>

<file path=customXml/itemProps1.xml><?xml version="1.0" encoding="utf-8"?>
<ds:datastoreItem xmlns:ds="http://schemas.openxmlformats.org/officeDocument/2006/customXml" ds:itemID="{511B4337-DEC0-406D-9764-30291585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Taiki Marthiensen</cp:lastModifiedBy>
  <cp:revision>2</cp:revision>
  <cp:lastPrinted>2018-09-17T16:37:00Z</cp:lastPrinted>
  <dcterms:created xsi:type="dcterms:W3CDTF">2021-06-14T19:04:00Z</dcterms:created>
  <dcterms:modified xsi:type="dcterms:W3CDTF">2021-06-14T19:04:00Z</dcterms:modified>
</cp:coreProperties>
</file>