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E0ED" w14:textId="77777777" w:rsidR="00E41989" w:rsidRDefault="00D84246" w:rsidP="000C6769">
      <w:pPr>
        <w:pStyle w:val="Header"/>
        <w:rPr>
          <w:rFonts w:ascii="Calibri" w:hAnsi="Calibri"/>
          <w:lang w:val="en-CA"/>
        </w:rPr>
      </w:pPr>
      <w:r w:rsidRPr="00AD36A3">
        <w:rPr>
          <w:rFonts w:ascii="Calibri" w:hAnsi="Calibri"/>
          <w:lang w:val="en-CA"/>
        </w:rPr>
        <w:t xml:space="preserve"> </w:t>
      </w:r>
      <w:r w:rsidR="000C6769" w:rsidRPr="00AD36A3">
        <w:rPr>
          <w:rFonts w:ascii="Calibri" w:hAnsi="Calibri" w:cs="Arial"/>
          <w:b/>
          <w:noProof/>
          <w:sz w:val="20"/>
          <w:szCs w:val="20"/>
        </w:rPr>
        <w:drawing>
          <wp:inline distT="0" distB="0" distL="0" distR="0" wp14:anchorId="4A79A062" wp14:editId="07777777">
            <wp:extent cx="2667000" cy="723900"/>
            <wp:effectExtent l="0" t="0" r="0" b="0"/>
            <wp:docPr id="1" name="Picture 1" descr="NESA_BN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SA_BNProgr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7000" cy="723900"/>
                    </a:xfrm>
                    <a:prstGeom prst="rect">
                      <a:avLst/>
                    </a:prstGeom>
                    <a:noFill/>
                    <a:ln>
                      <a:noFill/>
                    </a:ln>
                  </pic:spPr>
                </pic:pic>
              </a:graphicData>
            </a:graphic>
          </wp:inline>
        </w:drawing>
      </w:r>
    </w:p>
    <w:p w14:paraId="1616311A" w14:textId="77777777" w:rsidR="007150B6" w:rsidRPr="00AD36A3" w:rsidRDefault="007150B6" w:rsidP="000C6769">
      <w:pPr>
        <w:pStyle w:val="Header"/>
        <w:rPr>
          <w:rFonts w:ascii="Calibri" w:hAnsi="Calibri"/>
        </w:rPr>
      </w:pPr>
    </w:p>
    <w:p w14:paraId="1EA1652B" w14:textId="77777777" w:rsidR="00AD36A3" w:rsidRPr="00823174" w:rsidRDefault="02C4A473" w:rsidP="00AD36A3">
      <w:pPr>
        <w:pBdr>
          <w:bottom w:val="single" w:sz="4" w:space="1" w:color="auto"/>
        </w:pBdr>
        <w:jc w:val="center"/>
        <w:rPr>
          <w:rFonts w:ascii="Calibri" w:hAnsi="Calibri"/>
          <w:b/>
          <w:sz w:val="30"/>
          <w:szCs w:val="36"/>
          <w:lang w:val="en-CA"/>
        </w:rPr>
      </w:pPr>
      <w:r w:rsidRPr="02C4A473">
        <w:rPr>
          <w:b/>
          <w:bCs/>
          <w:sz w:val="30"/>
          <w:szCs w:val="30"/>
          <w:lang w:val="en-CA"/>
        </w:rPr>
        <w:t xml:space="preserve">Guideline: </w:t>
      </w:r>
      <w:r w:rsidRPr="02C4A473">
        <w:rPr>
          <w:rFonts w:ascii="Calibri" w:eastAsia="Calibri" w:hAnsi="Calibri" w:cs="Calibri"/>
          <w:b/>
          <w:bCs/>
          <w:sz w:val="30"/>
          <w:szCs w:val="30"/>
          <w:lang w:val="en-CA"/>
        </w:rPr>
        <w:t>Supporting Competence in Medication Administration</w:t>
      </w:r>
    </w:p>
    <w:p w14:paraId="3CED3DB6" w14:textId="77777777" w:rsidR="000C6769" w:rsidRPr="00AD36A3" w:rsidRDefault="02C4A473" w:rsidP="00D24B91">
      <w:pPr>
        <w:pBdr>
          <w:bottom w:val="single" w:sz="4" w:space="1" w:color="auto"/>
        </w:pBdr>
        <w:rPr>
          <w:rFonts w:ascii="Calibri" w:hAnsi="Calibri"/>
          <w:b/>
          <w:lang w:val="en-CA"/>
        </w:rPr>
      </w:pPr>
      <w:r w:rsidRPr="02C4A473">
        <w:rPr>
          <w:rFonts w:ascii="Calibri" w:eastAsia="Calibri" w:hAnsi="Calibri" w:cs="Calibri"/>
          <w:b/>
          <w:bCs/>
          <w:lang w:val="en-CA"/>
        </w:rPr>
        <w:t>PURPOSE:</w:t>
      </w:r>
    </w:p>
    <w:p w14:paraId="466D6819" w14:textId="77777777" w:rsidR="00534659" w:rsidRPr="00AD36A3" w:rsidRDefault="02C4A473" w:rsidP="00441D3D">
      <w:pPr>
        <w:rPr>
          <w:rFonts w:ascii="Calibri" w:hAnsi="Calibri"/>
          <w:lang w:val="en-CA"/>
        </w:rPr>
      </w:pPr>
      <w:r w:rsidRPr="02C4A473">
        <w:rPr>
          <w:rFonts w:ascii="Calibri" w:eastAsia="Calibri" w:hAnsi="Calibri" w:cs="Calibri"/>
          <w:lang w:val="en-CA"/>
        </w:rPr>
        <w:t xml:space="preserve">To assess, prepare, and support students in safe medication administration. </w:t>
      </w:r>
    </w:p>
    <w:p w14:paraId="7869ED93" w14:textId="77777777" w:rsidR="00534659" w:rsidRPr="00AD36A3" w:rsidRDefault="02C4A473" w:rsidP="00534659">
      <w:pPr>
        <w:pBdr>
          <w:bottom w:val="single" w:sz="4" w:space="1" w:color="auto"/>
        </w:pBdr>
        <w:rPr>
          <w:rFonts w:ascii="Calibri" w:hAnsi="Calibri"/>
          <w:b/>
          <w:lang w:val="en-CA"/>
        </w:rPr>
      </w:pPr>
      <w:r w:rsidRPr="02C4A473">
        <w:rPr>
          <w:rFonts w:ascii="Calibri" w:eastAsia="Calibri" w:hAnsi="Calibri" w:cs="Calibri"/>
          <w:b/>
          <w:bCs/>
          <w:lang w:val="en-CA"/>
        </w:rPr>
        <w:t>BACKGROUND:</w:t>
      </w:r>
    </w:p>
    <w:p w14:paraId="37DF958D" w14:textId="0AF51D75" w:rsidR="00534659" w:rsidRPr="00AD36A3" w:rsidRDefault="02C4A473" w:rsidP="00506890">
      <w:pPr>
        <w:rPr>
          <w:rFonts w:ascii="Calibri" w:hAnsi="Calibri"/>
          <w:i/>
          <w:lang w:val="en-CA"/>
        </w:rPr>
      </w:pPr>
      <w:r w:rsidRPr="02C4A473">
        <w:rPr>
          <w:rFonts w:ascii="Calibri" w:eastAsia="Calibri" w:hAnsi="Calibri" w:cs="Calibri"/>
          <w:lang w:val="en-CA"/>
        </w:rPr>
        <w:t xml:space="preserve">Nurses play an essential </w:t>
      </w:r>
      <w:r w:rsidRPr="00914BDD">
        <w:rPr>
          <w:rFonts w:ascii="Calibri" w:eastAsia="Calibri" w:hAnsi="Calibri" w:cs="Calibri"/>
          <w:lang w:val="en-CA"/>
        </w:rPr>
        <w:t xml:space="preserve">role in </w:t>
      </w:r>
      <w:r w:rsidR="00E36B95" w:rsidRPr="00914BDD">
        <w:rPr>
          <w:rFonts w:ascii="Calibri" w:eastAsia="Calibri" w:hAnsi="Calibri" w:cs="Calibri"/>
          <w:lang w:val="en-CA"/>
        </w:rPr>
        <w:t xml:space="preserve">performing </w:t>
      </w:r>
      <w:r w:rsidRPr="00914BDD">
        <w:rPr>
          <w:rFonts w:ascii="Calibri" w:eastAsia="Calibri" w:hAnsi="Calibri" w:cs="Calibri"/>
          <w:lang w:val="en-CA"/>
        </w:rPr>
        <w:t xml:space="preserve">medication reconciliation, </w:t>
      </w:r>
      <w:proofErr w:type="gramStart"/>
      <w:r w:rsidRPr="00914BDD">
        <w:rPr>
          <w:rFonts w:ascii="Calibri" w:eastAsia="Calibri" w:hAnsi="Calibri" w:cs="Calibri"/>
          <w:lang w:val="en-CA"/>
        </w:rPr>
        <w:t>preparing</w:t>
      </w:r>
      <w:proofErr w:type="gramEnd"/>
      <w:r w:rsidRPr="00914BDD">
        <w:rPr>
          <w:rFonts w:ascii="Calibri" w:eastAsia="Calibri" w:hAnsi="Calibri" w:cs="Calibri"/>
          <w:lang w:val="en-CA"/>
        </w:rPr>
        <w:t xml:space="preserve"> and administering medication</w:t>
      </w:r>
      <w:r w:rsidR="007967BE" w:rsidRPr="00914BDD">
        <w:rPr>
          <w:rFonts w:ascii="Calibri" w:eastAsia="Calibri" w:hAnsi="Calibri" w:cs="Calibri"/>
          <w:lang w:val="en-CA"/>
        </w:rPr>
        <w:t>s</w:t>
      </w:r>
      <w:r w:rsidRPr="00914BDD">
        <w:rPr>
          <w:rFonts w:ascii="Calibri" w:eastAsia="Calibri" w:hAnsi="Calibri" w:cs="Calibri"/>
          <w:lang w:val="en-CA"/>
        </w:rPr>
        <w:t>, teaching clients about medication</w:t>
      </w:r>
      <w:r w:rsidR="007967BE" w:rsidRPr="00914BDD">
        <w:rPr>
          <w:rFonts w:ascii="Calibri" w:eastAsia="Calibri" w:hAnsi="Calibri" w:cs="Calibri"/>
          <w:lang w:val="en-CA"/>
        </w:rPr>
        <w:t>s</w:t>
      </w:r>
      <w:r w:rsidRPr="00914BDD">
        <w:rPr>
          <w:rFonts w:ascii="Calibri" w:eastAsia="Calibri" w:hAnsi="Calibri" w:cs="Calibri"/>
          <w:lang w:val="en-CA"/>
        </w:rPr>
        <w:t xml:space="preserve">, </w:t>
      </w:r>
      <w:r w:rsidR="000B7148" w:rsidRPr="00914BDD">
        <w:rPr>
          <w:rFonts w:ascii="Calibri" w:eastAsia="Calibri" w:hAnsi="Calibri" w:cs="Calibri"/>
          <w:lang w:val="en-CA"/>
        </w:rPr>
        <w:t xml:space="preserve">as well as </w:t>
      </w:r>
      <w:r w:rsidRPr="00914BDD">
        <w:rPr>
          <w:rFonts w:ascii="Calibri" w:eastAsia="Calibri" w:hAnsi="Calibri" w:cs="Calibri"/>
          <w:lang w:val="en-CA"/>
        </w:rPr>
        <w:t>monitoring, evaluating</w:t>
      </w:r>
      <w:r w:rsidR="007967BE" w:rsidRPr="00914BDD">
        <w:rPr>
          <w:rFonts w:ascii="Calibri" w:eastAsia="Calibri" w:hAnsi="Calibri" w:cs="Calibri"/>
          <w:lang w:val="en-CA"/>
        </w:rPr>
        <w:t>,</w:t>
      </w:r>
      <w:r w:rsidRPr="00914BDD">
        <w:rPr>
          <w:rFonts w:ascii="Calibri" w:eastAsia="Calibri" w:hAnsi="Calibri" w:cs="Calibri"/>
          <w:lang w:val="en-CA"/>
        </w:rPr>
        <w:t xml:space="preserve"> and documenting the </w:t>
      </w:r>
      <w:r w:rsidR="000B7148" w:rsidRPr="00914BDD">
        <w:rPr>
          <w:rFonts w:ascii="Calibri" w:eastAsia="Calibri" w:hAnsi="Calibri" w:cs="Calibri"/>
          <w:lang w:val="en-CA"/>
        </w:rPr>
        <w:t xml:space="preserve">client’s </w:t>
      </w:r>
      <w:r w:rsidRPr="00914BDD">
        <w:rPr>
          <w:rFonts w:ascii="Calibri" w:eastAsia="Calibri" w:hAnsi="Calibri" w:cs="Calibri"/>
          <w:lang w:val="en-CA"/>
        </w:rPr>
        <w:t>response to medication</w:t>
      </w:r>
      <w:r w:rsidR="007967BE" w:rsidRPr="00914BDD">
        <w:rPr>
          <w:rFonts w:ascii="Calibri" w:eastAsia="Calibri" w:hAnsi="Calibri" w:cs="Calibri"/>
          <w:lang w:val="en-CA"/>
        </w:rPr>
        <w:t>s</w:t>
      </w:r>
      <w:r w:rsidR="007967BE">
        <w:rPr>
          <w:rFonts w:ascii="Calibri" w:eastAsia="Calibri" w:hAnsi="Calibri" w:cs="Calibri"/>
          <w:lang w:val="en-CA"/>
        </w:rPr>
        <w:t xml:space="preserve"> </w:t>
      </w:r>
      <w:r w:rsidRPr="02C4A473">
        <w:rPr>
          <w:rFonts w:ascii="Calibri" w:eastAsia="Calibri" w:hAnsi="Calibri" w:cs="Calibri"/>
          <w:lang w:val="en-CA"/>
        </w:rPr>
        <w:t>(</w:t>
      </w:r>
      <w:r w:rsidR="00930751">
        <w:rPr>
          <w:rFonts w:ascii="Calibri" w:eastAsia="Calibri" w:hAnsi="Calibri" w:cs="Calibri"/>
          <w:lang w:val="en-CA"/>
        </w:rPr>
        <w:t>Gregory, Raymond, Patrick, and Stephen, 2020</w:t>
      </w:r>
      <w:r w:rsidRPr="02C4A473">
        <w:rPr>
          <w:rFonts w:ascii="Calibri" w:eastAsia="Calibri" w:hAnsi="Calibri" w:cs="Calibri"/>
          <w:lang w:val="en-CA"/>
        </w:rPr>
        <w:t>). Safe medication management includes the knowledge of medication safety, human factors that may impact medication safety, limitations of medication systems</w:t>
      </w:r>
      <w:r w:rsidR="007967BE">
        <w:rPr>
          <w:rFonts w:ascii="Calibri" w:eastAsia="Calibri" w:hAnsi="Calibri" w:cs="Calibri"/>
          <w:lang w:val="en-CA"/>
        </w:rPr>
        <w:t>,</w:t>
      </w:r>
      <w:r w:rsidRPr="02C4A473">
        <w:rPr>
          <w:rFonts w:ascii="Calibri" w:eastAsia="Calibri" w:hAnsi="Calibri" w:cs="Calibri"/>
          <w:lang w:val="en-CA"/>
        </w:rPr>
        <w:t xml:space="preserve"> and best practices to reduce medication errors.   </w:t>
      </w:r>
      <w:r w:rsidRPr="02C4A473">
        <w:rPr>
          <w:rFonts w:ascii="Calibri" w:eastAsia="Calibri" w:hAnsi="Calibri" w:cs="Calibri"/>
          <w:i/>
          <w:iCs/>
          <w:lang w:val="en-CA"/>
        </w:rPr>
        <w:t xml:space="preserve"> </w:t>
      </w:r>
    </w:p>
    <w:p w14:paraId="43124C07" w14:textId="77777777" w:rsidR="000F65D8" w:rsidRPr="00AD36A3" w:rsidRDefault="02C4A473" w:rsidP="000F65D8">
      <w:pPr>
        <w:pBdr>
          <w:bottom w:val="single" w:sz="4" w:space="1" w:color="auto"/>
        </w:pBdr>
        <w:rPr>
          <w:rFonts w:ascii="Calibri" w:hAnsi="Calibri"/>
          <w:lang w:val="en-CA"/>
        </w:rPr>
      </w:pPr>
      <w:r w:rsidRPr="02C4A473">
        <w:rPr>
          <w:rFonts w:ascii="Calibri" w:eastAsia="Calibri" w:hAnsi="Calibri" w:cs="Calibri"/>
          <w:b/>
          <w:bCs/>
          <w:lang w:val="en-CA"/>
        </w:rPr>
        <w:t>DEFINITIONS:</w:t>
      </w:r>
    </w:p>
    <w:p w14:paraId="014EA2E6" w14:textId="27189F61" w:rsidR="000F65D8" w:rsidRDefault="002B20B3" w:rsidP="00441D3D">
      <w:pPr>
        <w:pStyle w:val="ListParagraph"/>
        <w:spacing w:after="0"/>
        <w:ind w:left="0"/>
        <w:rPr>
          <w:rFonts w:ascii="Calibri" w:hAnsi="Calibri"/>
          <w:lang w:val="en-CA"/>
        </w:rPr>
      </w:pPr>
      <w:r>
        <w:rPr>
          <w:rFonts w:ascii="Calibri" w:hAnsi="Calibri"/>
          <w:lang w:val="en-CA"/>
        </w:rPr>
        <w:t>N/A</w:t>
      </w:r>
    </w:p>
    <w:p w14:paraId="76A71178" w14:textId="77777777" w:rsidR="002B20B3" w:rsidRPr="002B20B3" w:rsidRDefault="002B20B3" w:rsidP="00441D3D">
      <w:pPr>
        <w:pStyle w:val="ListParagraph"/>
        <w:spacing w:after="0"/>
        <w:ind w:left="0"/>
        <w:rPr>
          <w:rFonts w:ascii="Calibri" w:hAnsi="Calibri"/>
          <w:lang w:val="en-CA"/>
        </w:rPr>
      </w:pPr>
    </w:p>
    <w:p w14:paraId="07601721" w14:textId="77777777" w:rsidR="000C6769" w:rsidRPr="00AD36A3" w:rsidRDefault="02C4A473" w:rsidP="00D24B91">
      <w:pPr>
        <w:pBdr>
          <w:bottom w:val="single" w:sz="4" w:space="1" w:color="auto"/>
        </w:pBdr>
        <w:rPr>
          <w:rFonts w:ascii="Calibri" w:hAnsi="Calibri"/>
          <w:b/>
          <w:lang w:val="en-CA"/>
        </w:rPr>
      </w:pPr>
      <w:r w:rsidRPr="02C4A473">
        <w:rPr>
          <w:rFonts w:ascii="Calibri" w:eastAsia="Calibri" w:hAnsi="Calibri" w:cs="Calibri"/>
          <w:b/>
          <w:bCs/>
          <w:lang w:val="en-CA"/>
        </w:rPr>
        <w:t>GUIDELINE SCOPE*:</w:t>
      </w:r>
    </w:p>
    <w:p w14:paraId="2CC397B2" w14:textId="77777777" w:rsidR="007C1AA4" w:rsidRPr="00441D3D" w:rsidRDefault="02C4A473" w:rsidP="00441D3D">
      <w:pPr>
        <w:pStyle w:val="ListParagraph"/>
        <w:ind w:left="0"/>
        <w:rPr>
          <w:rFonts w:ascii="Calibri" w:hAnsi="Calibri"/>
          <w:lang w:val="en-CA"/>
        </w:rPr>
      </w:pPr>
      <w:r w:rsidRPr="02C4A473">
        <w:rPr>
          <w:rFonts w:ascii="Calibri" w:eastAsia="Calibri" w:hAnsi="Calibri" w:cs="Calibri"/>
          <w:lang w:val="en-CA"/>
        </w:rPr>
        <w:t>This guideline applies to all students enrolled in the NESA BN Program.</w:t>
      </w:r>
    </w:p>
    <w:p w14:paraId="7AF954B2" w14:textId="77777777" w:rsidR="000C6769" w:rsidRPr="00E87F40" w:rsidRDefault="02C4A473" w:rsidP="002F7A57">
      <w:pPr>
        <w:pBdr>
          <w:bottom w:val="single" w:sz="4" w:space="1" w:color="auto"/>
        </w:pBdr>
        <w:rPr>
          <w:rFonts w:ascii="Calibri" w:hAnsi="Calibri"/>
          <w:b/>
          <w:lang w:val="en-CA"/>
        </w:rPr>
      </w:pPr>
      <w:r w:rsidRPr="00E87F40">
        <w:rPr>
          <w:rFonts w:ascii="Calibri" w:eastAsia="Calibri" w:hAnsi="Calibri" w:cs="Calibri"/>
          <w:b/>
          <w:bCs/>
          <w:lang w:val="en-CA"/>
        </w:rPr>
        <w:t xml:space="preserve">SPECIFICS OF THE GUIDELINE: </w:t>
      </w:r>
    </w:p>
    <w:p w14:paraId="5928DE65" w14:textId="4428BA7B" w:rsidR="0056674C" w:rsidRPr="00E87F40" w:rsidRDefault="02C4A473" w:rsidP="00316CB2">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All medications must be prepared, </w:t>
      </w:r>
      <w:proofErr w:type="gramStart"/>
      <w:r w:rsidRPr="00E87F40">
        <w:rPr>
          <w:rFonts w:ascii="Calibri" w:eastAsia="Calibri" w:hAnsi="Calibri" w:cs="Calibri"/>
          <w:lang w:val="en-CA"/>
        </w:rPr>
        <w:t>discussed</w:t>
      </w:r>
      <w:proofErr w:type="gramEnd"/>
      <w:r w:rsidRPr="00E87F40">
        <w:rPr>
          <w:rFonts w:ascii="Calibri" w:eastAsia="Calibri" w:hAnsi="Calibri" w:cs="Calibri"/>
          <w:lang w:val="en-CA"/>
        </w:rPr>
        <w:t xml:space="preserve"> and administered under </w:t>
      </w:r>
      <w:r w:rsidR="00914BDD" w:rsidRPr="00E87F40">
        <w:rPr>
          <w:rFonts w:ascii="Calibri" w:eastAsia="Calibri" w:hAnsi="Calibri" w:cs="Calibri"/>
          <w:lang w:val="en-CA"/>
        </w:rPr>
        <w:t xml:space="preserve">the </w:t>
      </w:r>
      <w:r w:rsidRPr="00E87F40">
        <w:rPr>
          <w:rFonts w:ascii="Calibri" w:eastAsia="Calibri" w:hAnsi="Calibri" w:cs="Calibri"/>
          <w:lang w:val="en-CA"/>
        </w:rPr>
        <w:t>direct/indirect supervision</w:t>
      </w:r>
      <w:r w:rsidR="00914BDD" w:rsidRPr="00E87F40">
        <w:rPr>
          <w:rFonts w:ascii="Calibri" w:eastAsia="Calibri" w:hAnsi="Calibri" w:cs="Calibri"/>
          <w:lang w:val="en-CA"/>
        </w:rPr>
        <w:t xml:space="preserve"> of a qualified regulated health care professional</w:t>
      </w:r>
      <w:r w:rsidRPr="00E87F40">
        <w:rPr>
          <w:rFonts w:ascii="Calibri" w:eastAsia="Calibri" w:hAnsi="Calibri" w:cs="Calibri"/>
          <w:lang w:val="en-CA"/>
        </w:rPr>
        <w:t xml:space="preserve">, </w:t>
      </w:r>
      <w:r w:rsidR="00914BDD" w:rsidRPr="00E87F40">
        <w:rPr>
          <w:rFonts w:ascii="Calibri" w:eastAsia="Calibri" w:hAnsi="Calibri" w:cs="Calibri"/>
          <w:lang w:val="en-CA"/>
        </w:rPr>
        <w:t xml:space="preserve">and </w:t>
      </w:r>
      <w:r w:rsidRPr="00E87F40">
        <w:rPr>
          <w:rFonts w:ascii="Calibri" w:eastAsia="Calibri" w:hAnsi="Calibri" w:cs="Calibri"/>
          <w:lang w:val="en-CA"/>
        </w:rPr>
        <w:t>based on the assessed competence of a student by the practice instructor. Assessment of competence is based on the rights of medication administration</w:t>
      </w:r>
      <w:r w:rsidR="00914BDD" w:rsidRPr="00E87F40">
        <w:rPr>
          <w:rFonts w:ascii="Calibri" w:eastAsia="Calibri" w:hAnsi="Calibri" w:cs="Calibri"/>
          <w:lang w:val="en-CA"/>
        </w:rPr>
        <w:t xml:space="preserve">, according to the </w:t>
      </w:r>
      <w:r w:rsidR="00914BDD" w:rsidRPr="00E87F40">
        <w:rPr>
          <w:rFonts w:ascii="Calibri" w:eastAsia="Calibri" w:hAnsi="Calibri" w:cs="Calibri"/>
          <w:i/>
          <w:iCs/>
          <w:lang w:val="en-CA"/>
        </w:rPr>
        <w:t>Medication Management Standards</w:t>
      </w:r>
      <w:r w:rsidR="00D316ED" w:rsidRPr="00E87F40">
        <w:rPr>
          <w:rFonts w:ascii="Calibri" w:eastAsia="Calibri" w:hAnsi="Calibri" w:cs="Calibri"/>
          <w:lang w:val="en-CA"/>
        </w:rPr>
        <w:t xml:space="preserve"> </w:t>
      </w:r>
      <w:r w:rsidR="00914BDD" w:rsidRPr="00E87F40">
        <w:rPr>
          <w:rFonts w:ascii="Calibri" w:eastAsia="Calibri" w:hAnsi="Calibri" w:cs="Calibri"/>
          <w:lang w:val="en-CA"/>
        </w:rPr>
        <w:t xml:space="preserve">of the College and Association of Registered Nurses of Alberta (CARNA) </w:t>
      </w:r>
      <w:r w:rsidR="00D316ED" w:rsidRPr="00E87F40">
        <w:rPr>
          <w:rFonts w:ascii="Calibri" w:eastAsia="Calibri" w:hAnsi="Calibri" w:cs="Calibri"/>
          <w:lang w:val="en-CA"/>
        </w:rPr>
        <w:t>(CARNA, 20</w:t>
      </w:r>
      <w:r w:rsidR="008B30F5" w:rsidRPr="00E87F40">
        <w:rPr>
          <w:rFonts w:ascii="Calibri" w:eastAsia="Calibri" w:hAnsi="Calibri" w:cs="Calibri"/>
          <w:lang w:val="en-CA"/>
        </w:rPr>
        <w:t>21)</w:t>
      </w:r>
      <w:r w:rsidRPr="00E87F40">
        <w:rPr>
          <w:rFonts w:ascii="Calibri" w:eastAsia="Calibri" w:hAnsi="Calibri" w:cs="Calibri"/>
          <w:lang w:val="en-CA"/>
        </w:rPr>
        <w:t xml:space="preserve">. </w:t>
      </w:r>
      <w:r w:rsidR="00316CB2" w:rsidRPr="00E87F40">
        <w:rPr>
          <w:rFonts w:ascii="Calibri" w:eastAsia="Calibri" w:hAnsi="Calibri" w:cs="Calibri"/>
          <w:lang w:val="en-CA"/>
        </w:rPr>
        <w:t xml:space="preserve">Instructors are only required to co-sign for medications on the </w:t>
      </w:r>
      <w:r w:rsidR="008B30F5" w:rsidRPr="00E87F40">
        <w:rPr>
          <w:rFonts w:ascii="Calibri" w:eastAsia="Calibri" w:hAnsi="Calibri" w:cs="Calibri"/>
          <w:lang w:val="en-CA"/>
        </w:rPr>
        <w:t>Medication Administration Record (</w:t>
      </w:r>
      <w:r w:rsidR="00316CB2" w:rsidRPr="00E87F40">
        <w:rPr>
          <w:rFonts w:ascii="Calibri" w:eastAsia="Calibri" w:hAnsi="Calibri" w:cs="Calibri"/>
          <w:lang w:val="en-CA"/>
        </w:rPr>
        <w:t>MAR</w:t>
      </w:r>
      <w:r w:rsidR="008B30F5" w:rsidRPr="00E87F40">
        <w:rPr>
          <w:rFonts w:ascii="Calibri" w:eastAsia="Calibri" w:hAnsi="Calibri" w:cs="Calibri"/>
          <w:lang w:val="en-CA"/>
        </w:rPr>
        <w:t>)</w:t>
      </w:r>
      <w:r w:rsidR="00316CB2" w:rsidRPr="00E87F40">
        <w:rPr>
          <w:rFonts w:ascii="Calibri" w:eastAsia="Calibri" w:hAnsi="Calibri" w:cs="Calibri"/>
          <w:lang w:val="en-CA"/>
        </w:rPr>
        <w:t xml:space="preserve"> if: </w:t>
      </w:r>
    </w:p>
    <w:p w14:paraId="31A80D07" w14:textId="3FA6D796" w:rsidR="00316CB2" w:rsidRPr="00E87F40" w:rsidRDefault="00316CB2" w:rsidP="00316CB2">
      <w:pPr>
        <w:pStyle w:val="ListParagraph"/>
        <w:numPr>
          <w:ilvl w:val="1"/>
          <w:numId w:val="13"/>
        </w:numPr>
        <w:spacing w:after="0" w:line="240" w:lineRule="auto"/>
        <w:rPr>
          <w:rFonts w:ascii="Calibri" w:hAnsi="Calibri"/>
          <w:lang w:val="en-CA"/>
        </w:rPr>
      </w:pPr>
      <w:r w:rsidRPr="00E87F40">
        <w:rPr>
          <w:rFonts w:ascii="Calibri" w:hAnsi="Calibri"/>
          <w:lang w:val="en-CA"/>
        </w:rPr>
        <w:t>The medication is a restricted or controlled medication.</w:t>
      </w:r>
    </w:p>
    <w:p w14:paraId="7EA97CD1" w14:textId="45B688A3" w:rsidR="00316CB2" w:rsidRPr="00E87F40" w:rsidRDefault="00316CB2" w:rsidP="00316CB2">
      <w:pPr>
        <w:pStyle w:val="ListParagraph"/>
        <w:numPr>
          <w:ilvl w:val="1"/>
          <w:numId w:val="13"/>
        </w:numPr>
        <w:spacing w:after="0" w:line="240" w:lineRule="auto"/>
        <w:rPr>
          <w:rFonts w:ascii="Calibri" w:hAnsi="Calibri"/>
          <w:lang w:val="en-CA"/>
        </w:rPr>
      </w:pPr>
      <w:r w:rsidRPr="00E87F40">
        <w:rPr>
          <w:rFonts w:ascii="Calibri" w:hAnsi="Calibri"/>
          <w:lang w:val="en-CA"/>
        </w:rPr>
        <w:t xml:space="preserve">Administration of the medication is considered a restricted activity </w:t>
      </w:r>
      <w:r w:rsidR="004232E0" w:rsidRPr="00E87F40">
        <w:rPr>
          <w:rFonts w:ascii="Calibri" w:hAnsi="Calibri"/>
          <w:lang w:val="en-CA"/>
        </w:rPr>
        <w:t xml:space="preserve">according to the Health Professions Act (HPA) of Alberta (Province of Alberta, 2019). </w:t>
      </w:r>
    </w:p>
    <w:p w14:paraId="06A49F8C" w14:textId="58796E95" w:rsidR="004232E0" w:rsidRPr="00E87F40" w:rsidRDefault="004232E0" w:rsidP="00316CB2">
      <w:pPr>
        <w:pStyle w:val="ListParagraph"/>
        <w:numPr>
          <w:ilvl w:val="1"/>
          <w:numId w:val="13"/>
        </w:numPr>
        <w:spacing w:after="0" w:line="240" w:lineRule="auto"/>
        <w:rPr>
          <w:rFonts w:ascii="Calibri" w:hAnsi="Calibri"/>
          <w:lang w:val="en-CA"/>
        </w:rPr>
      </w:pPr>
      <w:r w:rsidRPr="00E87F40">
        <w:rPr>
          <w:rFonts w:ascii="Calibri" w:hAnsi="Calibri"/>
          <w:lang w:val="en-CA"/>
        </w:rPr>
        <w:t>Agency policy requires a co-signature</w:t>
      </w:r>
      <w:r w:rsidR="00914BDD" w:rsidRPr="00E87F40">
        <w:rPr>
          <w:rFonts w:ascii="Calibri" w:hAnsi="Calibri"/>
          <w:lang w:val="en-CA"/>
        </w:rPr>
        <w:t>. I</w:t>
      </w:r>
      <w:r w:rsidRPr="00E87F40">
        <w:rPr>
          <w:rFonts w:ascii="Calibri" w:hAnsi="Calibri"/>
          <w:lang w:val="en-CA"/>
        </w:rPr>
        <w:t xml:space="preserve">n this case, </w:t>
      </w:r>
      <w:r w:rsidR="008B30F5" w:rsidRPr="00E87F40">
        <w:rPr>
          <w:rFonts w:ascii="Calibri" w:hAnsi="Calibri"/>
          <w:lang w:val="en-CA"/>
        </w:rPr>
        <w:t xml:space="preserve">a third signature from a regulated </w:t>
      </w:r>
      <w:r w:rsidR="00914BDD" w:rsidRPr="00E87F40">
        <w:rPr>
          <w:rFonts w:ascii="Calibri" w:hAnsi="Calibri"/>
          <w:lang w:val="en-CA"/>
        </w:rPr>
        <w:t>health care provider (</w:t>
      </w:r>
      <w:r w:rsidR="008B30F5" w:rsidRPr="00E87F40">
        <w:rPr>
          <w:rFonts w:ascii="Calibri" w:hAnsi="Calibri"/>
          <w:lang w:val="en-CA"/>
        </w:rPr>
        <w:t>HCP</w:t>
      </w:r>
      <w:r w:rsidR="00914BDD" w:rsidRPr="00E87F40">
        <w:rPr>
          <w:rFonts w:ascii="Calibri" w:hAnsi="Calibri"/>
          <w:lang w:val="en-CA"/>
        </w:rPr>
        <w:t>)</w:t>
      </w:r>
      <w:r w:rsidR="008B30F5" w:rsidRPr="00E87F40">
        <w:rPr>
          <w:rFonts w:ascii="Calibri" w:hAnsi="Calibri"/>
          <w:lang w:val="en-CA"/>
        </w:rPr>
        <w:t xml:space="preserve"> may be required in addition to that of the student and the instructor.</w:t>
      </w:r>
    </w:p>
    <w:p w14:paraId="2DD472D1" w14:textId="66B4461A" w:rsidR="008B30F5" w:rsidRPr="00E87F40" w:rsidRDefault="008B30F5" w:rsidP="008B30F5">
      <w:pPr>
        <w:pStyle w:val="ListParagraph"/>
        <w:spacing w:after="0" w:line="240" w:lineRule="auto"/>
        <w:ind w:left="360"/>
        <w:rPr>
          <w:rFonts w:ascii="Calibri" w:hAnsi="Calibri"/>
          <w:lang w:val="en-CA"/>
        </w:rPr>
      </w:pPr>
      <w:r w:rsidRPr="00E87F40">
        <w:rPr>
          <w:rFonts w:ascii="Calibri" w:hAnsi="Calibri"/>
          <w:lang w:val="en-CA"/>
        </w:rPr>
        <w:t xml:space="preserve">In these cases, the instructor’s co-signature signifies direct supervision of the preparation and administration of the medication in question. </w:t>
      </w:r>
    </w:p>
    <w:p w14:paraId="248FDBBD" w14:textId="77777777" w:rsidR="0056674C" w:rsidRPr="00E87F40" w:rsidRDefault="0056674C" w:rsidP="00441D3D">
      <w:pPr>
        <w:spacing w:after="0" w:line="240" w:lineRule="auto"/>
        <w:rPr>
          <w:rFonts w:ascii="Calibri" w:hAnsi="Calibri"/>
          <w:lang w:val="en-CA"/>
        </w:rPr>
      </w:pPr>
    </w:p>
    <w:p w14:paraId="2376B3E3" w14:textId="1BDFD9EB" w:rsidR="00295999" w:rsidRPr="00E87F40" w:rsidRDefault="00295999" w:rsidP="00295999">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A safe</w:t>
      </w:r>
      <w:r w:rsidR="02C4A473" w:rsidRPr="00E87F40">
        <w:rPr>
          <w:rFonts w:ascii="Calibri" w:eastAsia="Calibri" w:hAnsi="Calibri" w:cs="Calibri"/>
          <w:lang w:val="en-CA"/>
        </w:rPr>
        <w:t xml:space="preserve"> medication administration</w:t>
      </w:r>
      <w:r w:rsidRPr="00E87F40">
        <w:rPr>
          <w:rFonts w:ascii="Calibri" w:eastAsia="Calibri" w:hAnsi="Calibri" w:cs="Calibri"/>
          <w:lang w:val="en-CA"/>
        </w:rPr>
        <w:t xml:space="preserve"> quiz</w:t>
      </w:r>
      <w:r w:rsidR="02C4A473" w:rsidRPr="00E87F40">
        <w:rPr>
          <w:rFonts w:ascii="Calibri" w:eastAsia="Calibri" w:hAnsi="Calibri" w:cs="Calibri"/>
          <w:lang w:val="en-CA"/>
        </w:rPr>
        <w:t xml:space="preserve"> (“</w:t>
      </w:r>
      <w:r w:rsidRPr="00E87F40">
        <w:rPr>
          <w:rFonts w:ascii="Calibri" w:eastAsia="Calibri" w:hAnsi="Calibri" w:cs="Calibri"/>
          <w:lang w:val="en-CA"/>
        </w:rPr>
        <w:t>the quiz</w:t>
      </w:r>
      <w:r w:rsidR="02C4A473" w:rsidRPr="00E87F40">
        <w:rPr>
          <w:rFonts w:ascii="Calibri" w:eastAsia="Calibri" w:hAnsi="Calibri" w:cs="Calibri"/>
          <w:lang w:val="en-CA"/>
        </w:rPr>
        <w:t>”) assists in assessing the student’s</w:t>
      </w:r>
      <w:r w:rsidR="00E72C28" w:rsidRPr="00E87F40">
        <w:rPr>
          <w:rFonts w:ascii="Calibri" w:hAnsi="Calibri"/>
          <w:lang w:val="en-CA"/>
        </w:rPr>
        <w:t xml:space="preserve"> </w:t>
      </w:r>
      <w:r w:rsidR="02C4A473" w:rsidRPr="00E87F40">
        <w:rPr>
          <w:rFonts w:ascii="Calibri" w:eastAsia="Calibri" w:hAnsi="Calibri" w:cs="Calibri"/>
          <w:lang w:val="en-CA"/>
        </w:rPr>
        <w:t xml:space="preserve">competence </w:t>
      </w:r>
      <w:r w:rsidR="007967BE" w:rsidRPr="00E87F40">
        <w:rPr>
          <w:rFonts w:ascii="Calibri" w:eastAsia="Calibri" w:hAnsi="Calibri" w:cs="Calibri"/>
          <w:lang w:val="en-CA"/>
        </w:rPr>
        <w:t xml:space="preserve">regarding </w:t>
      </w:r>
      <w:r w:rsidR="00E36B95" w:rsidRPr="00E87F40">
        <w:rPr>
          <w:rFonts w:ascii="Calibri" w:eastAsia="Calibri" w:hAnsi="Calibri" w:cs="Calibri"/>
          <w:lang w:val="en-CA"/>
        </w:rPr>
        <w:t>calculations related to safe and correct medication dosages</w:t>
      </w:r>
      <w:r w:rsidRPr="00E87F40">
        <w:rPr>
          <w:rFonts w:ascii="Calibri" w:eastAsia="Calibri" w:hAnsi="Calibri" w:cs="Calibri"/>
          <w:lang w:val="en-CA"/>
        </w:rPr>
        <w:t xml:space="preserve">, </w:t>
      </w:r>
      <w:r w:rsidR="00E36B95" w:rsidRPr="00E87F40">
        <w:rPr>
          <w:rFonts w:ascii="Calibri" w:eastAsia="Calibri" w:hAnsi="Calibri" w:cs="Calibri"/>
          <w:lang w:val="en-CA"/>
        </w:rPr>
        <w:t xml:space="preserve">calculations related to correctly preparing and </w:t>
      </w:r>
      <w:r w:rsidR="02C4A473" w:rsidRPr="00E87F40">
        <w:rPr>
          <w:rFonts w:ascii="Calibri" w:eastAsia="Calibri" w:hAnsi="Calibri" w:cs="Calibri"/>
          <w:lang w:val="en-CA"/>
        </w:rPr>
        <w:t>administering medications</w:t>
      </w:r>
      <w:r w:rsidRPr="00E87F40">
        <w:rPr>
          <w:rFonts w:ascii="Calibri" w:eastAsia="Calibri" w:hAnsi="Calibri" w:cs="Calibri"/>
          <w:lang w:val="en-CA"/>
        </w:rPr>
        <w:t xml:space="preserve">, and safety principles related to medication </w:t>
      </w:r>
      <w:r w:rsidRPr="00E87F40">
        <w:rPr>
          <w:rFonts w:ascii="Calibri" w:eastAsia="Calibri" w:hAnsi="Calibri" w:cs="Calibri"/>
          <w:lang w:val="en-CA"/>
        </w:rPr>
        <w:lastRenderedPageBreak/>
        <w:t>management</w:t>
      </w:r>
      <w:r w:rsidR="02C4A473" w:rsidRPr="00E87F40">
        <w:rPr>
          <w:rFonts w:ascii="Calibri" w:eastAsia="Calibri" w:hAnsi="Calibri" w:cs="Calibri"/>
          <w:lang w:val="en-CA"/>
        </w:rPr>
        <w:t xml:space="preserve">. The </w:t>
      </w:r>
      <w:r w:rsidRPr="00E87F40">
        <w:rPr>
          <w:rFonts w:ascii="Calibri" w:eastAsia="Calibri" w:hAnsi="Calibri" w:cs="Calibri"/>
          <w:lang w:val="en-CA"/>
        </w:rPr>
        <w:t>quiz</w:t>
      </w:r>
      <w:r w:rsidR="02C4A473" w:rsidRPr="00E87F40">
        <w:rPr>
          <w:rFonts w:ascii="Calibri" w:eastAsia="Calibri" w:hAnsi="Calibri" w:cs="Calibri"/>
          <w:lang w:val="en-CA"/>
        </w:rPr>
        <w:t xml:space="preserve"> is administered and evaluated as part of </w:t>
      </w:r>
      <w:r w:rsidRPr="00E87F40">
        <w:rPr>
          <w:rFonts w:ascii="Calibri" w:eastAsia="Calibri" w:hAnsi="Calibri" w:cs="Calibri"/>
          <w:lang w:val="en-CA"/>
        </w:rPr>
        <w:t>each</w:t>
      </w:r>
      <w:r w:rsidR="02C4A473" w:rsidRPr="00E87F40">
        <w:rPr>
          <w:rFonts w:ascii="Calibri" w:eastAsia="Calibri" w:hAnsi="Calibri" w:cs="Calibri"/>
          <w:lang w:val="en-CA"/>
        </w:rPr>
        <w:t xml:space="preserve"> practice course</w:t>
      </w:r>
      <w:r w:rsidR="00E36B95" w:rsidRPr="00E87F40">
        <w:rPr>
          <w:rFonts w:ascii="Calibri" w:eastAsia="Calibri" w:hAnsi="Calibri" w:cs="Calibri"/>
          <w:lang w:val="en-CA"/>
        </w:rPr>
        <w:t xml:space="preserve"> </w:t>
      </w:r>
      <w:r w:rsidRPr="00E87F40">
        <w:rPr>
          <w:rFonts w:ascii="Calibri" w:eastAsia="Calibri" w:hAnsi="Calibri" w:cs="Calibri"/>
          <w:lang w:val="en-CA"/>
        </w:rPr>
        <w:t>with</w:t>
      </w:r>
      <w:r w:rsidR="00E36B95" w:rsidRPr="00E87F40">
        <w:rPr>
          <w:rFonts w:ascii="Calibri" w:eastAsia="Calibri" w:hAnsi="Calibri" w:cs="Calibri"/>
          <w:lang w:val="en-CA"/>
        </w:rPr>
        <w:t xml:space="preserve">in the </w:t>
      </w:r>
      <w:r w:rsidRPr="00E87F40">
        <w:rPr>
          <w:rFonts w:ascii="Calibri" w:eastAsia="Calibri" w:hAnsi="Calibri" w:cs="Calibri"/>
          <w:lang w:val="en-CA"/>
        </w:rPr>
        <w:t xml:space="preserve">NESA </w:t>
      </w:r>
      <w:r w:rsidR="00E36B95" w:rsidRPr="00E87F40">
        <w:rPr>
          <w:rFonts w:ascii="Calibri" w:eastAsia="Calibri" w:hAnsi="Calibri" w:cs="Calibri"/>
          <w:lang w:val="en-CA"/>
        </w:rPr>
        <w:t>BN programs</w:t>
      </w:r>
      <w:r w:rsidR="02C4A473" w:rsidRPr="00E87F40">
        <w:rPr>
          <w:rFonts w:ascii="Calibri" w:eastAsia="Calibri" w:hAnsi="Calibri" w:cs="Calibri"/>
          <w:lang w:val="en-CA"/>
        </w:rPr>
        <w:t xml:space="preserve">. </w:t>
      </w:r>
    </w:p>
    <w:p w14:paraId="082E4AC8" w14:textId="77777777" w:rsidR="00295999" w:rsidRPr="00E87F40" w:rsidRDefault="00E36B95" w:rsidP="00295999">
      <w:pPr>
        <w:pStyle w:val="ListParagraph"/>
        <w:numPr>
          <w:ilvl w:val="1"/>
          <w:numId w:val="13"/>
        </w:numPr>
        <w:spacing w:after="0" w:line="240" w:lineRule="auto"/>
        <w:rPr>
          <w:rFonts w:ascii="Calibri" w:hAnsi="Calibri"/>
          <w:lang w:val="en-CA"/>
        </w:rPr>
      </w:pPr>
      <w:r w:rsidRPr="00E87F40">
        <w:rPr>
          <w:rFonts w:ascii="Calibri" w:eastAsia="Calibri" w:hAnsi="Calibri" w:cs="Calibri"/>
          <w:lang w:val="en-CA"/>
        </w:rPr>
        <w:t xml:space="preserve">A simplified basic math </w:t>
      </w:r>
      <w:r w:rsidR="00295999" w:rsidRPr="00E87F40">
        <w:rPr>
          <w:rFonts w:ascii="Calibri" w:eastAsia="Calibri" w:hAnsi="Calibri" w:cs="Calibri"/>
          <w:lang w:val="en-CA"/>
        </w:rPr>
        <w:t xml:space="preserve">quiz </w:t>
      </w:r>
      <w:r w:rsidRPr="00E87F40">
        <w:rPr>
          <w:rFonts w:ascii="Calibri" w:eastAsia="Calibri" w:hAnsi="Calibri" w:cs="Calibri"/>
          <w:lang w:val="en-CA"/>
        </w:rPr>
        <w:t xml:space="preserve">is administered and evaluated as part of the first LTC practice course in each of the </w:t>
      </w:r>
      <w:r w:rsidR="00295999" w:rsidRPr="00E87F40">
        <w:rPr>
          <w:rFonts w:ascii="Calibri" w:eastAsia="Calibri" w:hAnsi="Calibri" w:cs="Calibri"/>
          <w:lang w:val="en-CA"/>
        </w:rPr>
        <w:t xml:space="preserve">NESA </w:t>
      </w:r>
      <w:r w:rsidRPr="00E87F40">
        <w:rPr>
          <w:rFonts w:ascii="Calibri" w:eastAsia="Calibri" w:hAnsi="Calibri" w:cs="Calibri"/>
          <w:lang w:val="en-CA"/>
        </w:rPr>
        <w:t xml:space="preserve">BN programs, as students are not expected to administer medications during this practice experience. The simplified basic math exam assesses basic math skills. </w:t>
      </w:r>
    </w:p>
    <w:p w14:paraId="5F088E26" w14:textId="1D6B1011" w:rsidR="0056674C" w:rsidRPr="00E87F40" w:rsidRDefault="00E36B95" w:rsidP="00295999">
      <w:pPr>
        <w:pStyle w:val="ListParagraph"/>
        <w:numPr>
          <w:ilvl w:val="1"/>
          <w:numId w:val="13"/>
        </w:numPr>
        <w:spacing w:after="0" w:line="240" w:lineRule="auto"/>
        <w:rPr>
          <w:rFonts w:ascii="Calibri" w:hAnsi="Calibri"/>
          <w:lang w:val="en-CA"/>
        </w:rPr>
      </w:pPr>
      <w:r w:rsidRPr="00E87F40">
        <w:rPr>
          <w:rFonts w:ascii="Calibri" w:eastAsia="Calibri" w:hAnsi="Calibri" w:cs="Calibri"/>
          <w:lang w:val="en-CA"/>
        </w:rPr>
        <w:t xml:space="preserve">Additional exams or assessments related to medication administration principles and </w:t>
      </w:r>
      <w:r w:rsidR="00295999" w:rsidRPr="00E87F40">
        <w:rPr>
          <w:rFonts w:ascii="Calibri" w:eastAsia="Calibri" w:hAnsi="Calibri" w:cs="Calibri"/>
          <w:lang w:val="en-CA"/>
        </w:rPr>
        <w:t xml:space="preserve">pharmacological </w:t>
      </w:r>
      <w:r w:rsidRPr="00E87F40">
        <w:rPr>
          <w:rFonts w:ascii="Calibri" w:eastAsia="Calibri" w:hAnsi="Calibri" w:cs="Calibri"/>
          <w:lang w:val="en-CA"/>
        </w:rPr>
        <w:t>theory may be included as part of nursing theory courses throughout the</w:t>
      </w:r>
      <w:r w:rsidR="00295999" w:rsidRPr="00E87F40">
        <w:rPr>
          <w:rFonts w:ascii="Calibri" w:eastAsia="Calibri" w:hAnsi="Calibri" w:cs="Calibri"/>
          <w:lang w:val="en-CA"/>
        </w:rPr>
        <w:t xml:space="preserve"> NESA BN P</w:t>
      </w:r>
      <w:r w:rsidRPr="00E87F40">
        <w:rPr>
          <w:rFonts w:ascii="Calibri" w:eastAsia="Calibri" w:hAnsi="Calibri" w:cs="Calibri"/>
          <w:lang w:val="en-CA"/>
        </w:rPr>
        <w:t>rogram</w:t>
      </w:r>
      <w:r w:rsidR="00295999" w:rsidRPr="00E87F40">
        <w:rPr>
          <w:rFonts w:ascii="Calibri" w:eastAsia="Calibri" w:hAnsi="Calibri" w:cs="Calibri"/>
          <w:lang w:val="en-CA"/>
        </w:rPr>
        <w:t>s</w:t>
      </w:r>
      <w:r w:rsidRPr="00E87F40">
        <w:rPr>
          <w:rFonts w:ascii="Calibri" w:eastAsia="Calibri" w:hAnsi="Calibri" w:cs="Calibri"/>
          <w:lang w:val="en-CA"/>
        </w:rPr>
        <w:t xml:space="preserve">, as applicable to each </w:t>
      </w:r>
      <w:proofErr w:type="gramStart"/>
      <w:r w:rsidRPr="00E87F40">
        <w:rPr>
          <w:rFonts w:ascii="Calibri" w:eastAsia="Calibri" w:hAnsi="Calibri" w:cs="Calibri"/>
          <w:lang w:val="en-CA"/>
        </w:rPr>
        <w:t>particular course</w:t>
      </w:r>
      <w:proofErr w:type="gramEnd"/>
      <w:r w:rsidRPr="00E87F40">
        <w:rPr>
          <w:rFonts w:ascii="Calibri" w:eastAsia="Calibri" w:hAnsi="Calibri" w:cs="Calibri"/>
          <w:lang w:val="en-CA"/>
        </w:rPr>
        <w:t xml:space="preserve">. </w:t>
      </w:r>
    </w:p>
    <w:p w14:paraId="1A941C36" w14:textId="77777777" w:rsidR="0056674C" w:rsidRPr="00E87F40" w:rsidRDefault="0056674C" w:rsidP="00441D3D">
      <w:pPr>
        <w:spacing w:after="0" w:line="240" w:lineRule="auto"/>
        <w:rPr>
          <w:rFonts w:ascii="Calibri" w:hAnsi="Calibri"/>
          <w:lang w:val="en-CA"/>
        </w:rPr>
      </w:pPr>
    </w:p>
    <w:p w14:paraId="093252D8" w14:textId="268A7404" w:rsidR="00FC1B3D" w:rsidRPr="00E87F40" w:rsidRDefault="02C4A473" w:rsidP="00FC1B3D">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The </w:t>
      </w:r>
      <w:r w:rsidR="00295999" w:rsidRPr="00E87F40">
        <w:rPr>
          <w:rFonts w:ascii="Calibri" w:eastAsia="Calibri" w:hAnsi="Calibri" w:cs="Calibri"/>
          <w:lang w:val="en-CA"/>
        </w:rPr>
        <w:t>quiz</w:t>
      </w:r>
      <w:r w:rsidRPr="00E87F40">
        <w:rPr>
          <w:rFonts w:ascii="Calibri" w:eastAsia="Calibri" w:hAnsi="Calibri" w:cs="Calibri"/>
          <w:lang w:val="en-CA"/>
        </w:rPr>
        <w:t xml:space="preserve"> is administered, evaluated and followed-up by </w:t>
      </w:r>
      <w:r w:rsidR="007967BE" w:rsidRPr="00E87F40">
        <w:rPr>
          <w:rFonts w:ascii="Calibri" w:eastAsia="Calibri" w:hAnsi="Calibri" w:cs="Calibri"/>
          <w:lang w:val="en-CA"/>
        </w:rPr>
        <w:t xml:space="preserve">the </w:t>
      </w:r>
      <w:r w:rsidRPr="00E87F40">
        <w:rPr>
          <w:rFonts w:ascii="Calibri" w:eastAsia="Calibri" w:hAnsi="Calibri" w:cs="Calibri"/>
          <w:lang w:val="en-CA"/>
        </w:rPr>
        <w:t>practice coordinator</w:t>
      </w:r>
      <w:r w:rsidR="00E36B95" w:rsidRPr="00E87F40">
        <w:rPr>
          <w:rFonts w:ascii="Calibri" w:eastAsia="Calibri" w:hAnsi="Calibri" w:cs="Calibri"/>
          <w:lang w:val="en-CA"/>
        </w:rPr>
        <w:t>, or designate</w:t>
      </w:r>
      <w:r w:rsidR="003B1597" w:rsidRPr="00E87F40">
        <w:rPr>
          <w:rFonts w:ascii="Calibri" w:eastAsia="Calibri" w:hAnsi="Calibri" w:cs="Calibri"/>
          <w:lang w:val="en-CA"/>
        </w:rPr>
        <w:t>,</w:t>
      </w:r>
      <w:r w:rsidR="00295999" w:rsidRPr="00E87F40">
        <w:rPr>
          <w:rFonts w:ascii="Calibri" w:eastAsia="Calibri" w:hAnsi="Calibri" w:cs="Calibri"/>
          <w:lang w:val="en-CA"/>
        </w:rPr>
        <w:t xml:space="preserve"> at Lethbridge College</w:t>
      </w:r>
      <w:r w:rsidRPr="00E87F40">
        <w:rPr>
          <w:rFonts w:ascii="Calibri" w:eastAsia="Calibri" w:hAnsi="Calibri" w:cs="Calibri"/>
          <w:lang w:val="en-CA"/>
        </w:rPr>
        <w:t xml:space="preserve"> (LC)</w:t>
      </w:r>
      <w:r w:rsidR="00E36B95" w:rsidRPr="00E87F40">
        <w:rPr>
          <w:rFonts w:ascii="Calibri" w:eastAsia="Calibri" w:hAnsi="Calibri" w:cs="Calibri"/>
          <w:lang w:val="en-CA"/>
        </w:rPr>
        <w:t xml:space="preserve">, </w:t>
      </w:r>
      <w:r w:rsidRPr="00E87F40">
        <w:rPr>
          <w:rFonts w:ascii="Calibri" w:eastAsia="Calibri" w:hAnsi="Calibri" w:cs="Calibri"/>
          <w:lang w:val="en-CA"/>
        </w:rPr>
        <w:t xml:space="preserve">or </w:t>
      </w:r>
      <w:r w:rsidR="007967BE" w:rsidRPr="00E87F40">
        <w:rPr>
          <w:rFonts w:ascii="Calibri" w:eastAsia="Calibri" w:hAnsi="Calibri" w:cs="Calibri"/>
          <w:lang w:val="en-CA"/>
        </w:rPr>
        <w:t xml:space="preserve">the </w:t>
      </w:r>
      <w:r w:rsidRPr="00E87F40">
        <w:rPr>
          <w:rFonts w:ascii="Calibri" w:eastAsia="Calibri" w:hAnsi="Calibri" w:cs="Calibri"/>
          <w:lang w:val="en-CA"/>
        </w:rPr>
        <w:t>practice instructor</w:t>
      </w:r>
      <w:r w:rsidR="003B1597" w:rsidRPr="00E87F40">
        <w:rPr>
          <w:rFonts w:ascii="Calibri" w:eastAsia="Calibri" w:hAnsi="Calibri" w:cs="Calibri"/>
          <w:lang w:val="en-CA"/>
        </w:rPr>
        <w:t>, or designate,</w:t>
      </w:r>
      <w:r w:rsidRPr="00E87F40">
        <w:rPr>
          <w:rFonts w:ascii="Calibri" w:eastAsia="Calibri" w:hAnsi="Calibri" w:cs="Calibri"/>
          <w:lang w:val="en-CA"/>
        </w:rPr>
        <w:t xml:space="preserve"> </w:t>
      </w:r>
      <w:r w:rsidR="00295999" w:rsidRPr="00E87F40">
        <w:rPr>
          <w:rFonts w:ascii="Calibri" w:eastAsia="Calibri" w:hAnsi="Calibri" w:cs="Calibri"/>
          <w:lang w:val="en-CA"/>
        </w:rPr>
        <w:t xml:space="preserve">at the University of Lethbridge </w:t>
      </w:r>
      <w:r w:rsidRPr="00E87F40">
        <w:rPr>
          <w:rFonts w:ascii="Calibri" w:eastAsia="Calibri" w:hAnsi="Calibri" w:cs="Calibri"/>
          <w:lang w:val="en-CA"/>
        </w:rPr>
        <w:t>(U</w:t>
      </w:r>
      <w:r w:rsidR="00316CB2" w:rsidRPr="00E87F40">
        <w:rPr>
          <w:rFonts w:ascii="Calibri" w:eastAsia="Calibri" w:hAnsi="Calibri" w:cs="Calibri"/>
          <w:lang w:val="en-CA"/>
        </w:rPr>
        <w:t xml:space="preserve"> of </w:t>
      </w:r>
      <w:r w:rsidRPr="00E87F40">
        <w:rPr>
          <w:rFonts w:ascii="Calibri" w:eastAsia="Calibri" w:hAnsi="Calibri" w:cs="Calibri"/>
          <w:lang w:val="en-CA"/>
        </w:rPr>
        <w:t>L)</w:t>
      </w:r>
      <w:r w:rsidR="00295999" w:rsidRPr="00E87F40">
        <w:rPr>
          <w:rFonts w:ascii="Calibri" w:eastAsia="Calibri" w:hAnsi="Calibri" w:cs="Calibri"/>
          <w:lang w:val="en-CA"/>
        </w:rPr>
        <w:t xml:space="preserve">. </w:t>
      </w:r>
      <w:r w:rsidR="005D67EC" w:rsidRPr="00E87F40">
        <w:rPr>
          <w:rFonts w:ascii="Calibri" w:eastAsia="Calibri" w:hAnsi="Calibri" w:cs="Calibri"/>
          <w:lang w:val="en-CA"/>
        </w:rPr>
        <w:t xml:space="preserve">Students are required to achieve a mastery score of 100% on the exam. Students can re-write the exam, as needed, until they achieve mastery. However, if students continue to demonstrate an inability to achieve mastery (more than 2 failed attempts), they may be </w:t>
      </w:r>
      <w:r w:rsidR="00295999" w:rsidRPr="00E87F40">
        <w:rPr>
          <w:rFonts w:ascii="Calibri" w:eastAsia="Calibri" w:hAnsi="Calibri" w:cs="Calibri"/>
          <w:lang w:val="en-CA"/>
        </w:rPr>
        <w:t>required</w:t>
      </w:r>
      <w:r w:rsidR="005D67EC" w:rsidRPr="00E87F40">
        <w:rPr>
          <w:rFonts w:ascii="Calibri" w:eastAsia="Calibri" w:hAnsi="Calibri" w:cs="Calibri"/>
          <w:lang w:val="en-CA"/>
        </w:rPr>
        <w:t xml:space="preserve"> to receive remedial education and an Enhancement Plan may be initiated. </w:t>
      </w:r>
    </w:p>
    <w:p w14:paraId="24E37E34" w14:textId="77777777" w:rsidR="00506890" w:rsidRPr="00E87F40" w:rsidRDefault="00506890" w:rsidP="00441D3D">
      <w:pPr>
        <w:spacing w:after="0" w:line="240" w:lineRule="auto"/>
        <w:rPr>
          <w:rFonts w:ascii="Calibri" w:hAnsi="Calibri"/>
          <w:lang w:val="en-CA"/>
        </w:rPr>
      </w:pPr>
    </w:p>
    <w:p w14:paraId="09A96D23" w14:textId="15362184" w:rsidR="00E72C28" w:rsidRPr="00E87F40" w:rsidRDefault="02C4A473" w:rsidP="00FC1B3D">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Students are not prohibited from </w:t>
      </w:r>
      <w:r w:rsidR="005D67EC" w:rsidRPr="00E87F40">
        <w:rPr>
          <w:rFonts w:ascii="Calibri" w:eastAsia="Calibri" w:hAnsi="Calibri" w:cs="Calibri"/>
          <w:lang w:val="en-CA"/>
        </w:rPr>
        <w:t xml:space="preserve">participating in their </w:t>
      </w:r>
      <w:r w:rsidRPr="00E87F40">
        <w:rPr>
          <w:rFonts w:ascii="Calibri" w:eastAsia="Calibri" w:hAnsi="Calibri" w:cs="Calibri"/>
          <w:lang w:val="en-CA"/>
        </w:rPr>
        <w:t>practice experience</w:t>
      </w:r>
      <w:r w:rsidR="00FC1B3D" w:rsidRPr="00E87F40">
        <w:rPr>
          <w:rFonts w:ascii="Calibri" w:eastAsia="Calibri" w:hAnsi="Calibri" w:cs="Calibri"/>
          <w:lang w:val="en-CA"/>
        </w:rPr>
        <w:t xml:space="preserve"> based on their performance on the quiz. However, students will not be eligible to administer medications during their practice experience until they have achieved the required mastery score on the quiz. Successful completion of the quiz is only one aspect of demonstrating competence in medication administration.</w:t>
      </w:r>
      <w:r w:rsidRPr="00E87F40">
        <w:rPr>
          <w:rFonts w:ascii="Calibri" w:eastAsia="Calibri" w:hAnsi="Calibri" w:cs="Calibri"/>
          <w:lang w:val="en-CA"/>
        </w:rPr>
        <w:t xml:space="preserve"> Therefore</w:t>
      </w:r>
      <w:r w:rsidR="0056061C" w:rsidRPr="00E87F40">
        <w:rPr>
          <w:rFonts w:ascii="Calibri" w:eastAsia="Calibri" w:hAnsi="Calibri" w:cs="Calibri"/>
          <w:lang w:val="en-CA"/>
        </w:rPr>
        <w:t>,</w:t>
      </w:r>
      <w:r w:rsidRPr="00E87F40">
        <w:rPr>
          <w:rFonts w:ascii="Calibri" w:eastAsia="Calibri" w:hAnsi="Calibri" w:cs="Calibri"/>
          <w:lang w:val="en-CA"/>
        </w:rPr>
        <w:t xml:space="preserve"> all students require the same level of supervision and support until all aspects of competence are assessed, and the student deemed capable of </w:t>
      </w:r>
      <w:r w:rsidR="00FC1B3D" w:rsidRPr="00E87F40">
        <w:rPr>
          <w:rFonts w:ascii="Calibri" w:eastAsia="Calibri" w:hAnsi="Calibri" w:cs="Calibri"/>
          <w:lang w:val="en-CA"/>
        </w:rPr>
        <w:t xml:space="preserve">safe </w:t>
      </w:r>
      <w:r w:rsidRPr="00E87F40">
        <w:rPr>
          <w:rFonts w:ascii="Calibri" w:eastAsia="Calibri" w:hAnsi="Calibri" w:cs="Calibri"/>
          <w:lang w:val="en-CA"/>
        </w:rPr>
        <w:t xml:space="preserve">independent medication administration. </w:t>
      </w:r>
    </w:p>
    <w:p w14:paraId="03A38AFD" w14:textId="24C5AE84" w:rsidR="007967BE" w:rsidRPr="00E87F40" w:rsidRDefault="00FC1B3D" w:rsidP="00441D3D">
      <w:pPr>
        <w:pStyle w:val="ListParagraph"/>
        <w:numPr>
          <w:ilvl w:val="1"/>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Some practice agencies may require students to complete additional agency-specific training and/or assessments successfully prior to students being eligible to administer medications at that practice site. Students are expected to comply with these additional requirements, as applicable. </w:t>
      </w:r>
    </w:p>
    <w:p w14:paraId="1ACA6B7A" w14:textId="77777777" w:rsidR="00FC1B3D" w:rsidRPr="00E87F40" w:rsidRDefault="00FC1B3D" w:rsidP="00FC1B3D">
      <w:pPr>
        <w:spacing w:after="0" w:line="240" w:lineRule="auto"/>
        <w:rPr>
          <w:rFonts w:ascii="Calibri" w:eastAsia="Calibri" w:hAnsi="Calibri" w:cs="Calibri"/>
          <w:lang w:val="en-CA"/>
        </w:rPr>
      </w:pPr>
    </w:p>
    <w:p w14:paraId="192D6CD4" w14:textId="1A1414E2" w:rsidR="00FC1B3D" w:rsidRPr="00E87F40" w:rsidRDefault="02C4A473" w:rsidP="00FC1B3D">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If a student demonstrates difficulty meeting any of the expected requirements of </w:t>
      </w:r>
      <w:r w:rsidR="00100097" w:rsidRPr="00E87F40">
        <w:rPr>
          <w:rFonts w:ascii="Calibri" w:eastAsia="Calibri" w:hAnsi="Calibri" w:cs="Calibri"/>
          <w:lang w:val="en-CA"/>
        </w:rPr>
        <w:t xml:space="preserve">safe </w:t>
      </w:r>
      <w:r w:rsidRPr="00E87F40">
        <w:rPr>
          <w:rFonts w:ascii="Calibri" w:eastAsia="Calibri" w:hAnsi="Calibri" w:cs="Calibri"/>
          <w:lang w:val="en-CA"/>
        </w:rPr>
        <w:t xml:space="preserve">medication administration, </w:t>
      </w:r>
      <w:r w:rsidR="00316CB2" w:rsidRPr="00E87F40">
        <w:rPr>
          <w:rFonts w:ascii="Calibri" w:eastAsia="Calibri" w:hAnsi="Calibri" w:cs="Calibri"/>
          <w:lang w:val="en-CA"/>
        </w:rPr>
        <w:t xml:space="preserve">an Enhancement Plan will be </w:t>
      </w:r>
      <w:r w:rsidR="00FC1B3D" w:rsidRPr="00E87F40">
        <w:rPr>
          <w:rFonts w:ascii="Calibri" w:eastAsia="Calibri" w:hAnsi="Calibri" w:cs="Calibri"/>
          <w:lang w:val="en-CA"/>
        </w:rPr>
        <w:t>initiated,</w:t>
      </w:r>
      <w:r w:rsidRPr="00E87F40">
        <w:rPr>
          <w:rFonts w:ascii="Calibri" w:eastAsia="Calibri" w:hAnsi="Calibri" w:cs="Calibri"/>
          <w:lang w:val="en-CA"/>
        </w:rPr>
        <w:t xml:space="preserve"> and additional supports will be identified collaboratively between the practice instructor and student to ensure competence and safety during medication administration. This process may require support from the Practice Coordinator</w:t>
      </w:r>
      <w:r w:rsidR="00316CB2" w:rsidRPr="00E87F40">
        <w:rPr>
          <w:rFonts w:ascii="Calibri" w:eastAsia="Calibri" w:hAnsi="Calibri" w:cs="Calibri"/>
          <w:lang w:val="en-CA"/>
        </w:rPr>
        <w:t xml:space="preserve"> (LC) or the Assistant Dean – Nursing (U of L)</w:t>
      </w:r>
      <w:r w:rsidRPr="00E87F40">
        <w:rPr>
          <w:rFonts w:ascii="Calibri" w:eastAsia="Calibri" w:hAnsi="Calibri" w:cs="Calibri"/>
          <w:lang w:val="en-CA"/>
        </w:rPr>
        <w:t xml:space="preserve">. </w:t>
      </w:r>
    </w:p>
    <w:p w14:paraId="32F4BA88" w14:textId="77777777" w:rsidR="0056674C" w:rsidRPr="00E87F40" w:rsidRDefault="0056674C" w:rsidP="0056674C">
      <w:pPr>
        <w:spacing w:after="0" w:line="240" w:lineRule="auto"/>
        <w:ind w:left="567"/>
        <w:rPr>
          <w:rFonts w:ascii="Calibri" w:hAnsi="Calibri"/>
          <w:lang w:val="en-CA"/>
        </w:rPr>
      </w:pPr>
    </w:p>
    <w:p w14:paraId="4D4CA4BE" w14:textId="4DD82C12" w:rsidR="0056674C" w:rsidRPr="00E87F40" w:rsidRDefault="02C4A473" w:rsidP="00FC1B3D">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The specifics of how the process of preparation, assessment, support</w:t>
      </w:r>
      <w:r w:rsidR="007967BE" w:rsidRPr="00E87F40">
        <w:rPr>
          <w:rFonts w:ascii="Calibri" w:eastAsia="Calibri" w:hAnsi="Calibri" w:cs="Calibri"/>
          <w:lang w:val="en-CA"/>
        </w:rPr>
        <w:t>,</w:t>
      </w:r>
      <w:r w:rsidRPr="00E87F40">
        <w:rPr>
          <w:rFonts w:ascii="Calibri" w:eastAsia="Calibri" w:hAnsi="Calibri" w:cs="Calibri"/>
          <w:lang w:val="en-CA"/>
        </w:rPr>
        <w:t xml:space="preserve"> and evaluation of competence in medication administration is administered may differ on the two campuses.</w:t>
      </w:r>
      <w:r w:rsidR="00FC1B3D" w:rsidRPr="00E87F40">
        <w:rPr>
          <w:rFonts w:ascii="Calibri" w:eastAsia="Calibri" w:hAnsi="Calibri" w:cs="Calibri"/>
          <w:lang w:val="en-CA"/>
        </w:rPr>
        <w:t xml:space="preserve"> However, in all cases, quiz integrity and academic honesty will be safeguarded. </w:t>
      </w:r>
    </w:p>
    <w:p w14:paraId="6B85BA38" w14:textId="77777777" w:rsidR="0056595B" w:rsidRPr="00E87F40" w:rsidRDefault="0056595B" w:rsidP="00441D3D">
      <w:pPr>
        <w:spacing w:after="0" w:line="240" w:lineRule="auto"/>
        <w:rPr>
          <w:rFonts w:ascii="Calibri" w:hAnsi="Calibri"/>
          <w:lang w:val="en-CA"/>
        </w:rPr>
      </w:pPr>
    </w:p>
    <w:p w14:paraId="4559270A" w14:textId="5ED852EC" w:rsidR="0056595B" w:rsidRPr="00E87F40" w:rsidRDefault="02C4A473" w:rsidP="00FC1B3D">
      <w:pPr>
        <w:pStyle w:val="ListParagraph"/>
        <w:numPr>
          <w:ilvl w:val="0"/>
          <w:numId w:val="13"/>
        </w:numPr>
        <w:spacing w:after="0" w:line="240" w:lineRule="auto"/>
        <w:rPr>
          <w:rFonts w:ascii="Calibri" w:eastAsia="Calibri" w:hAnsi="Calibri" w:cs="Calibri"/>
          <w:lang w:val="en-CA"/>
        </w:rPr>
      </w:pPr>
      <w:r w:rsidRPr="00E87F40">
        <w:rPr>
          <w:rFonts w:ascii="Calibri" w:eastAsia="Calibri" w:hAnsi="Calibri" w:cs="Calibri"/>
          <w:lang w:val="en-CA"/>
        </w:rPr>
        <w:t xml:space="preserve">Student medication errors will be immediately reported to the </w:t>
      </w:r>
      <w:r w:rsidR="00AC1E5F" w:rsidRPr="00E87F40">
        <w:rPr>
          <w:rFonts w:ascii="Calibri" w:eastAsia="Calibri" w:hAnsi="Calibri" w:cs="Calibri"/>
          <w:lang w:val="en-CA"/>
        </w:rPr>
        <w:t>agency/</w:t>
      </w:r>
      <w:r w:rsidRPr="00E87F40">
        <w:rPr>
          <w:rFonts w:ascii="Calibri" w:eastAsia="Calibri" w:hAnsi="Calibri" w:cs="Calibri"/>
          <w:lang w:val="en-CA"/>
        </w:rPr>
        <w:t>unit manager</w:t>
      </w:r>
      <w:r w:rsidR="007967BE" w:rsidRPr="00E87F40">
        <w:rPr>
          <w:rFonts w:ascii="Calibri" w:eastAsia="Calibri" w:hAnsi="Calibri" w:cs="Calibri"/>
          <w:lang w:val="en-CA"/>
        </w:rPr>
        <w:t xml:space="preserve"> </w:t>
      </w:r>
      <w:r w:rsidRPr="00E87F40">
        <w:rPr>
          <w:rFonts w:ascii="Calibri" w:eastAsia="Calibri" w:hAnsi="Calibri" w:cs="Calibri"/>
          <w:lang w:val="en-CA"/>
        </w:rPr>
        <w:t xml:space="preserve">or designate.  Practice instructors will adhere to agency policy for reporting and documenting medication errors. </w:t>
      </w:r>
    </w:p>
    <w:p w14:paraId="67730FBE" w14:textId="439B93FB" w:rsidR="0056674C" w:rsidRPr="00E87F40" w:rsidRDefault="0056674C" w:rsidP="00441D3D">
      <w:pPr>
        <w:spacing w:after="0" w:line="240" w:lineRule="auto"/>
        <w:rPr>
          <w:rFonts w:ascii="Calibri" w:hAnsi="Calibri"/>
          <w:lang w:val="en-CA"/>
        </w:rPr>
      </w:pPr>
    </w:p>
    <w:p w14:paraId="4288E6B7" w14:textId="77777777" w:rsidR="00FC1B3D" w:rsidRPr="00E87F40" w:rsidRDefault="00FC1B3D" w:rsidP="00441D3D">
      <w:pPr>
        <w:spacing w:after="0" w:line="240" w:lineRule="auto"/>
        <w:rPr>
          <w:rFonts w:ascii="Calibri" w:hAnsi="Calibri"/>
          <w:lang w:val="en-CA"/>
        </w:rPr>
      </w:pPr>
    </w:p>
    <w:p w14:paraId="26AA8B78" w14:textId="77777777" w:rsidR="0056674C" w:rsidRPr="00E87F40" w:rsidRDefault="02C4A473" w:rsidP="0056674C">
      <w:pPr>
        <w:pBdr>
          <w:bottom w:val="single" w:sz="4" w:space="1" w:color="auto"/>
        </w:pBdr>
        <w:rPr>
          <w:rFonts w:ascii="Calibri" w:hAnsi="Calibri"/>
          <w:b/>
          <w:lang w:val="en-CA"/>
        </w:rPr>
      </w:pPr>
      <w:r w:rsidRPr="00E87F40">
        <w:rPr>
          <w:rFonts w:ascii="Calibri" w:eastAsia="Calibri" w:hAnsi="Calibri" w:cs="Calibri"/>
          <w:b/>
          <w:bCs/>
          <w:lang w:val="en-CA"/>
        </w:rPr>
        <w:t>DESIRED OUTCOMES:</w:t>
      </w:r>
    </w:p>
    <w:p w14:paraId="2D430326" w14:textId="4EE142A0" w:rsidR="0056674C" w:rsidRPr="00AD36A3" w:rsidRDefault="02C4A473" w:rsidP="00441D3D">
      <w:pPr>
        <w:spacing w:after="0" w:line="240" w:lineRule="auto"/>
        <w:rPr>
          <w:rFonts w:ascii="Calibri" w:hAnsi="Calibri"/>
          <w:lang w:val="en-CA"/>
        </w:rPr>
      </w:pPr>
      <w:r w:rsidRPr="00E87F40">
        <w:rPr>
          <w:rFonts w:ascii="Calibri" w:eastAsia="Calibri" w:hAnsi="Calibri" w:cs="Calibri"/>
          <w:lang w:val="en-CA"/>
        </w:rPr>
        <w:t>Students demonstrate confidence and competence in practice</w:t>
      </w:r>
      <w:r w:rsidR="00AC1E5F" w:rsidRPr="00E87F40">
        <w:rPr>
          <w:rFonts w:ascii="Calibri" w:eastAsia="Calibri" w:hAnsi="Calibri" w:cs="Calibri"/>
          <w:lang w:val="en-CA"/>
        </w:rPr>
        <w:t xml:space="preserve"> when administering medications</w:t>
      </w:r>
      <w:r w:rsidRPr="00E87F40">
        <w:rPr>
          <w:rFonts w:ascii="Calibri" w:eastAsia="Calibri" w:hAnsi="Calibri" w:cs="Calibri"/>
          <w:lang w:val="en-CA"/>
        </w:rPr>
        <w:t xml:space="preserve">, </w:t>
      </w:r>
      <w:r w:rsidR="00100097" w:rsidRPr="00E87F40">
        <w:rPr>
          <w:rFonts w:ascii="Calibri" w:eastAsia="Calibri" w:hAnsi="Calibri" w:cs="Calibri"/>
          <w:lang w:val="en-CA"/>
        </w:rPr>
        <w:t xml:space="preserve">following </w:t>
      </w:r>
      <w:r w:rsidRPr="00E87F40">
        <w:rPr>
          <w:rFonts w:ascii="Calibri" w:eastAsia="Calibri" w:hAnsi="Calibri" w:cs="Calibri"/>
          <w:lang w:val="en-CA"/>
        </w:rPr>
        <w:t xml:space="preserve">the rights of </w:t>
      </w:r>
      <w:r w:rsidR="004E2B4A" w:rsidRPr="00E87F40">
        <w:rPr>
          <w:rFonts w:ascii="Calibri" w:eastAsia="Calibri" w:hAnsi="Calibri" w:cs="Calibri"/>
          <w:lang w:val="en-CA"/>
        </w:rPr>
        <w:t>s</w:t>
      </w:r>
      <w:r w:rsidRPr="00E87F40">
        <w:rPr>
          <w:rFonts w:ascii="Calibri" w:eastAsia="Calibri" w:hAnsi="Calibri" w:cs="Calibri"/>
          <w:lang w:val="en-CA"/>
        </w:rPr>
        <w:t xml:space="preserve">afe medication administration. </w:t>
      </w:r>
      <w:r w:rsidR="00100097" w:rsidRPr="00E87F40">
        <w:rPr>
          <w:rFonts w:ascii="Calibri" w:eastAsia="Calibri" w:hAnsi="Calibri" w:cs="Calibri"/>
          <w:lang w:val="en-CA"/>
        </w:rPr>
        <w:t xml:space="preserve">Patient safety </w:t>
      </w:r>
      <w:r w:rsidR="00AC1E5F" w:rsidRPr="00E87F40">
        <w:rPr>
          <w:rFonts w:ascii="Calibri" w:eastAsia="Calibri" w:hAnsi="Calibri" w:cs="Calibri"/>
          <w:lang w:val="en-CA"/>
        </w:rPr>
        <w:t xml:space="preserve">is the priority and </w:t>
      </w:r>
      <w:r w:rsidR="00100097" w:rsidRPr="00E87F40">
        <w:rPr>
          <w:rFonts w:ascii="Calibri" w:eastAsia="Calibri" w:hAnsi="Calibri" w:cs="Calibri"/>
          <w:lang w:val="en-CA"/>
        </w:rPr>
        <w:t>will be maintained.</w:t>
      </w:r>
      <w:r w:rsidR="00100097">
        <w:rPr>
          <w:rFonts w:ascii="Calibri" w:eastAsia="Calibri" w:hAnsi="Calibri" w:cs="Calibri"/>
          <w:lang w:val="en-CA"/>
        </w:rPr>
        <w:t xml:space="preserve"> </w:t>
      </w:r>
    </w:p>
    <w:p w14:paraId="435E6D00" w14:textId="77777777" w:rsidR="0056674C" w:rsidRPr="00AD36A3" w:rsidRDefault="0056674C" w:rsidP="00441D3D">
      <w:pPr>
        <w:spacing w:after="0" w:line="240" w:lineRule="auto"/>
        <w:rPr>
          <w:rFonts w:ascii="Calibri" w:hAnsi="Calibri"/>
          <w:lang w:val="en-CA"/>
        </w:rPr>
      </w:pPr>
    </w:p>
    <w:p w14:paraId="700A11DF" w14:textId="77777777" w:rsidR="008A4A96" w:rsidRPr="00AD36A3" w:rsidRDefault="5C3CAA7D" w:rsidP="0056595B">
      <w:pPr>
        <w:spacing w:after="0" w:line="240" w:lineRule="auto"/>
        <w:rPr>
          <w:rFonts w:ascii="Calibri" w:hAnsi="Calibri"/>
          <w:lang w:val="en-CA"/>
        </w:rPr>
      </w:pPr>
      <w:r w:rsidRPr="5C3CAA7D">
        <w:rPr>
          <w:rFonts w:ascii="Calibri" w:eastAsia="Calibri" w:hAnsi="Calibri" w:cs="Calibri"/>
          <w:lang w:val="en-CA"/>
        </w:rPr>
        <w:t xml:space="preserve"> </w:t>
      </w:r>
    </w:p>
    <w:p w14:paraId="3FF7928A" w14:textId="77777777" w:rsidR="005F031C" w:rsidRPr="00AD36A3" w:rsidRDefault="02C4A473" w:rsidP="0060008A">
      <w:pPr>
        <w:pBdr>
          <w:bottom w:val="single" w:sz="4" w:space="1" w:color="auto"/>
        </w:pBdr>
        <w:rPr>
          <w:rFonts w:ascii="Calibri" w:hAnsi="Calibri"/>
          <w:lang w:val="en-CA"/>
        </w:rPr>
      </w:pPr>
      <w:r w:rsidRPr="02C4A473">
        <w:rPr>
          <w:rFonts w:ascii="Calibri" w:eastAsia="Calibri" w:hAnsi="Calibri" w:cs="Calibri"/>
          <w:b/>
          <w:bCs/>
          <w:lang w:val="en-CA"/>
        </w:rPr>
        <w:t xml:space="preserve">RELATED POLICIES/ASSOCIATED GUIDELINES: </w:t>
      </w:r>
    </w:p>
    <w:p w14:paraId="44EF4346" w14:textId="77777777" w:rsidR="00913931" w:rsidRDefault="00913931" w:rsidP="00913931">
      <w:pPr>
        <w:spacing w:after="0"/>
        <w:ind w:left="720" w:hanging="720"/>
        <w:rPr>
          <w:rFonts w:ascii="Calibri" w:eastAsia="Calibri" w:hAnsi="Calibri" w:cs="Calibri"/>
          <w:lang w:val="en-CA"/>
        </w:rPr>
      </w:pPr>
      <w:r>
        <w:rPr>
          <w:rFonts w:ascii="Calibri" w:eastAsia="Calibri" w:hAnsi="Calibri" w:cs="Calibri"/>
          <w:lang w:val="en-CA"/>
        </w:rPr>
        <w:t xml:space="preserve">College and Association of Registered Nurses of Alberta. (2018). </w:t>
      </w:r>
      <w:r w:rsidRPr="00914BDD">
        <w:rPr>
          <w:rFonts w:ascii="Calibri" w:eastAsia="Calibri" w:hAnsi="Calibri" w:cs="Calibri"/>
          <w:i/>
          <w:iCs/>
          <w:lang w:val="en-CA"/>
        </w:rPr>
        <w:t>Guidelines for Medication and Vaccine Injection Safety</w:t>
      </w:r>
      <w:r>
        <w:rPr>
          <w:rFonts w:ascii="Calibri" w:eastAsia="Calibri" w:hAnsi="Calibri" w:cs="Calibri"/>
          <w:lang w:val="en-CA"/>
        </w:rPr>
        <w:t xml:space="preserve">. Retrieved from: </w:t>
      </w:r>
      <w:hyperlink r:id="rId8" w:history="1">
        <w:r w:rsidRPr="004F4A48">
          <w:rPr>
            <w:rStyle w:val="Hyperlink"/>
            <w:rFonts w:ascii="Calibri" w:eastAsia="Calibri" w:hAnsi="Calibri" w:cs="Calibri"/>
            <w:lang w:val="en-CA"/>
          </w:rPr>
          <w:t>https://nurses.ab.ca/docs/default-source/document-library/guidelines/medication-and-vaccine-injection-safety-guidelines.pdf?sfvrsn=4e30ebbc_12</w:t>
        </w:r>
      </w:hyperlink>
      <w:r>
        <w:rPr>
          <w:rFonts w:ascii="Calibri" w:eastAsia="Calibri" w:hAnsi="Calibri" w:cs="Calibri"/>
          <w:lang w:val="en-CA"/>
        </w:rPr>
        <w:t xml:space="preserve"> </w:t>
      </w:r>
    </w:p>
    <w:p w14:paraId="2C47305E" w14:textId="3ED322EA" w:rsidR="00913931" w:rsidRDefault="00913931" w:rsidP="00913931">
      <w:pPr>
        <w:spacing w:after="0"/>
        <w:ind w:left="720" w:hanging="720"/>
        <w:rPr>
          <w:rFonts w:ascii="Calibri" w:eastAsia="Calibri" w:hAnsi="Calibri" w:cs="Calibri"/>
          <w:lang w:val="en-CA"/>
        </w:rPr>
      </w:pPr>
      <w:r>
        <w:rPr>
          <w:rFonts w:ascii="Calibri" w:eastAsia="Calibri" w:hAnsi="Calibri" w:cs="Calibri"/>
          <w:lang w:val="en-CA"/>
        </w:rPr>
        <w:t xml:space="preserve"> </w:t>
      </w:r>
    </w:p>
    <w:p w14:paraId="452354DE" w14:textId="423B8795" w:rsidR="002B20B3" w:rsidRPr="00913931" w:rsidRDefault="02C4A473" w:rsidP="00913931">
      <w:pPr>
        <w:spacing w:after="0"/>
        <w:ind w:left="720" w:hanging="720"/>
        <w:rPr>
          <w:rFonts w:ascii="Calibri" w:eastAsia="Calibri" w:hAnsi="Calibri" w:cs="Calibri"/>
          <w:lang w:val="en-CA"/>
        </w:rPr>
      </w:pPr>
      <w:r w:rsidRPr="008331C2">
        <w:rPr>
          <w:rFonts w:ascii="Calibri" w:eastAsia="Calibri" w:hAnsi="Calibri" w:cs="Calibri"/>
          <w:lang w:val="en-CA"/>
        </w:rPr>
        <w:t>College and Association</w:t>
      </w:r>
      <w:r w:rsidR="00E65B7D" w:rsidRPr="008331C2">
        <w:rPr>
          <w:rFonts w:ascii="Calibri" w:eastAsia="Calibri" w:hAnsi="Calibri" w:cs="Calibri"/>
          <w:lang w:val="en-CA"/>
        </w:rPr>
        <w:t xml:space="preserve"> of Registered Nurses</w:t>
      </w:r>
      <w:r w:rsidR="004A2BF6" w:rsidRPr="008331C2">
        <w:rPr>
          <w:rFonts w:ascii="Calibri" w:eastAsia="Calibri" w:hAnsi="Calibri" w:cs="Calibri"/>
          <w:lang w:val="en-CA"/>
        </w:rPr>
        <w:t xml:space="preserve"> of Alberta. (</w:t>
      </w:r>
      <w:r w:rsidR="004A2BF6" w:rsidRPr="00913931">
        <w:rPr>
          <w:rFonts w:ascii="Calibri" w:eastAsia="Calibri" w:hAnsi="Calibri" w:cs="Calibri"/>
          <w:lang w:val="en-CA"/>
        </w:rPr>
        <w:t>20</w:t>
      </w:r>
      <w:r w:rsidR="008B30F5" w:rsidRPr="00913931">
        <w:rPr>
          <w:rFonts w:ascii="Calibri" w:eastAsia="Calibri" w:hAnsi="Calibri" w:cs="Calibri"/>
          <w:lang w:val="en-CA"/>
        </w:rPr>
        <w:t>21</w:t>
      </w:r>
      <w:r w:rsidR="00E65B7D" w:rsidRPr="008331C2">
        <w:rPr>
          <w:rFonts w:ascii="Calibri" w:eastAsia="Calibri" w:hAnsi="Calibri" w:cs="Calibri"/>
          <w:lang w:val="en-CA"/>
        </w:rPr>
        <w:t xml:space="preserve">). </w:t>
      </w:r>
      <w:r w:rsidRPr="008331C2">
        <w:rPr>
          <w:rFonts w:ascii="Calibri" w:eastAsia="Calibri" w:hAnsi="Calibri" w:cs="Calibri"/>
          <w:i/>
          <w:iCs/>
          <w:lang w:val="en-CA"/>
        </w:rPr>
        <w:t xml:space="preserve">Medication </w:t>
      </w:r>
      <w:r w:rsidR="008B30F5">
        <w:rPr>
          <w:rFonts w:ascii="Calibri" w:eastAsia="Calibri" w:hAnsi="Calibri" w:cs="Calibri"/>
          <w:i/>
          <w:iCs/>
          <w:lang w:val="en-CA"/>
        </w:rPr>
        <w:t>Management Standard</w:t>
      </w:r>
      <w:r w:rsidRPr="008331C2">
        <w:rPr>
          <w:rFonts w:ascii="Calibri" w:eastAsia="Calibri" w:hAnsi="Calibri" w:cs="Calibri"/>
          <w:i/>
          <w:iCs/>
          <w:lang w:val="en-CA"/>
        </w:rPr>
        <w:t>s</w:t>
      </w:r>
      <w:r w:rsidR="004A2BF6" w:rsidRPr="008331C2">
        <w:rPr>
          <w:rFonts w:ascii="Calibri" w:eastAsia="Calibri" w:hAnsi="Calibri" w:cs="Calibri"/>
          <w:lang w:val="en-CA"/>
        </w:rPr>
        <w:t>.</w:t>
      </w:r>
      <w:r w:rsidR="00913931">
        <w:rPr>
          <w:rFonts w:ascii="Calibri" w:eastAsia="Calibri" w:hAnsi="Calibri" w:cs="Calibri"/>
          <w:lang w:val="en-CA"/>
        </w:rPr>
        <w:t xml:space="preserve"> </w:t>
      </w:r>
      <w:r w:rsidR="006F03EB">
        <w:rPr>
          <w:rFonts w:ascii="Calibri" w:eastAsia="Calibri" w:hAnsi="Calibri" w:cs="Calibri"/>
          <w:lang w:val="en-CA"/>
        </w:rPr>
        <w:t>Retrieved from</w:t>
      </w:r>
      <w:r w:rsidR="00E34B9B">
        <w:rPr>
          <w:rStyle w:val="Hyperlink"/>
          <w:rFonts w:ascii="HelveticaNeue" w:eastAsia="Times New Roman" w:hAnsi="HelveticaNeue"/>
          <w:color w:val="auto"/>
          <w:u w:val="none"/>
        </w:rPr>
        <w:t>:</w:t>
      </w:r>
      <w:r w:rsidR="008B30F5">
        <w:rPr>
          <w:rStyle w:val="Hyperlink"/>
          <w:rFonts w:ascii="HelveticaNeue" w:eastAsia="Times New Roman" w:hAnsi="HelveticaNeue"/>
          <w:color w:val="auto"/>
          <w:u w:val="none"/>
        </w:rPr>
        <w:t xml:space="preserve"> </w:t>
      </w:r>
      <w:hyperlink r:id="rId9" w:history="1">
        <w:r w:rsidR="008B30F5" w:rsidRPr="004F4A48">
          <w:rPr>
            <w:rStyle w:val="Hyperlink"/>
          </w:rPr>
          <w:t>https://nurses.ab.ca/docs/default-source/document-library/standards/medication-management-standards.pdf?sfvrsn=4265098d_12</w:t>
        </w:r>
      </w:hyperlink>
      <w:r w:rsidR="008B30F5">
        <w:t xml:space="preserve"> </w:t>
      </w:r>
    </w:p>
    <w:p w14:paraId="2A19D08E" w14:textId="3B628EF5" w:rsidR="00913931" w:rsidRDefault="00913931" w:rsidP="00913931">
      <w:pPr>
        <w:spacing w:after="0"/>
      </w:pPr>
    </w:p>
    <w:p w14:paraId="583E3F0F" w14:textId="1484C918" w:rsidR="00C059F5" w:rsidRPr="00AD36A3" w:rsidRDefault="02C4A473" w:rsidP="00C357E6">
      <w:pPr>
        <w:pBdr>
          <w:bottom w:val="single" w:sz="4" w:space="1" w:color="auto"/>
        </w:pBdr>
        <w:rPr>
          <w:rFonts w:ascii="Calibri" w:hAnsi="Calibri"/>
          <w:i/>
          <w:sz w:val="16"/>
          <w:szCs w:val="16"/>
          <w:lang w:val="en-CA"/>
        </w:rPr>
      </w:pPr>
      <w:r w:rsidRPr="02C4A473">
        <w:rPr>
          <w:rFonts w:ascii="Calibri" w:eastAsia="Calibri" w:hAnsi="Calibri" w:cs="Calibri"/>
          <w:b/>
          <w:bCs/>
          <w:lang w:val="en-CA"/>
        </w:rPr>
        <w:t>REFERENCES:</w:t>
      </w:r>
      <w:r w:rsidRPr="02C4A473">
        <w:rPr>
          <w:rFonts w:ascii="Calibri" w:eastAsia="Calibri" w:hAnsi="Calibri" w:cs="Calibri"/>
          <w:lang w:val="en-CA"/>
        </w:rPr>
        <w:t xml:space="preserve">  </w:t>
      </w:r>
    </w:p>
    <w:p w14:paraId="3E707506" w14:textId="5DAAC118" w:rsidR="00357758" w:rsidRPr="00913931" w:rsidRDefault="00357758" w:rsidP="00913931">
      <w:pPr>
        <w:ind w:left="720" w:hanging="720"/>
        <w:rPr>
          <w:i/>
          <w:iCs/>
        </w:rPr>
      </w:pPr>
      <w:r w:rsidRPr="00930751">
        <w:t>Gregory, D., Raymond, C., Patrick, L., &amp; Stephen, T. (2020).</w:t>
      </w:r>
      <w:r w:rsidRPr="00930751">
        <w:rPr>
          <w:i/>
          <w:iCs/>
        </w:rPr>
        <w:t xml:space="preserve"> Fundamentals: Perspectives on the Art and</w:t>
      </w:r>
      <w:r w:rsidR="00913931">
        <w:rPr>
          <w:i/>
          <w:iCs/>
        </w:rPr>
        <w:t xml:space="preserve"> </w:t>
      </w:r>
      <w:r w:rsidRPr="00930751">
        <w:rPr>
          <w:i/>
          <w:iCs/>
        </w:rPr>
        <w:t>Science of Canadian Nursing (2</w:t>
      </w:r>
      <w:r w:rsidRPr="00930751">
        <w:rPr>
          <w:i/>
          <w:iCs/>
          <w:vertAlign w:val="superscript"/>
        </w:rPr>
        <w:t>nd</w:t>
      </w:r>
      <w:r w:rsidRPr="00930751">
        <w:rPr>
          <w:i/>
          <w:iCs/>
        </w:rPr>
        <w:t xml:space="preserve"> ed.</w:t>
      </w:r>
      <w:r w:rsidRPr="00930751">
        <w:t>)</w:t>
      </w:r>
      <w:r w:rsidR="004232E0">
        <w:t>.</w:t>
      </w:r>
      <w:r w:rsidRPr="00930751">
        <w:t xml:space="preserve"> Wolters Kluwer.</w:t>
      </w:r>
    </w:p>
    <w:p w14:paraId="2641674D" w14:textId="5E80A45A" w:rsidR="004232E0" w:rsidRDefault="004232E0" w:rsidP="00913931">
      <w:pPr>
        <w:ind w:left="720" w:hanging="720"/>
      </w:pPr>
      <w:r>
        <w:t xml:space="preserve">Province of Alberta. (2019). </w:t>
      </w:r>
      <w:r w:rsidRPr="004232E0">
        <w:rPr>
          <w:i/>
          <w:iCs/>
        </w:rPr>
        <w:t>Health Professions Act: Registered Nurses Profession Regulation</w:t>
      </w:r>
      <w:r>
        <w:t xml:space="preserve">. Retrieved from: </w:t>
      </w:r>
      <w:hyperlink r:id="rId10" w:history="1">
        <w:r w:rsidRPr="004F4A48">
          <w:rPr>
            <w:rStyle w:val="Hyperlink"/>
          </w:rPr>
          <w:t>https://www.qp.alberta.ca/documents/Regs/2005_232.pdf</w:t>
        </w:r>
      </w:hyperlink>
      <w:r>
        <w:t xml:space="preserve"> </w:t>
      </w:r>
    </w:p>
    <w:p w14:paraId="082E007E" w14:textId="77777777" w:rsidR="004232E0" w:rsidRPr="00357758" w:rsidRDefault="004232E0" w:rsidP="00357758"/>
    <w:p w14:paraId="1D94FC2C" w14:textId="77777777" w:rsidR="002F7A57" w:rsidRPr="00AD36A3" w:rsidRDefault="02C4A473" w:rsidP="002F7A57">
      <w:pPr>
        <w:rPr>
          <w:rFonts w:ascii="Calibri" w:hAnsi="Calibri"/>
          <w:b/>
          <w:i/>
          <w:lang w:val="en-CA"/>
        </w:rPr>
      </w:pPr>
      <w:r w:rsidRPr="02C4A473">
        <w:rPr>
          <w:rFonts w:ascii="Calibri" w:eastAsia="Calibri" w:hAnsi="Calibri" w:cs="Calibri"/>
          <w:b/>
          <w:bCs/>
          <w:i/>
          <w:iCs/>
          <w:lang w:val="en-CA"/>
        </w:rPr>
        <w:t xml:space="preserve">*NOTE: NESA Policies exist within organizational frameworks of policy for Lethbridge College and the University of Lethbridge, and within agreements established with practice partner organizations. </w:t>
      </w:r>
      <w:proofErr w:type="gramStart"/>
      <w:r w:rsidRPr="02C4A473">
        <w:rPr>
          <w:rFonts w:ascii="Calibri" w:eastAsia="Calibri" w:hAnsi="Calibri" w:cs="Calibri"/>
          <w:b/>
          <w:bCs/>
          <w:i/>
          <w:iCs/>
          <w:lang w:val="en-CA"/>
        </w:rPr>
        <w:t>If and when</w:t>
      </w:r>
      <w:proofErr w:type="gramEnd"/>
      <w:r w:rsidRPr="02C4A473">
        <w:rPr>
          <w:rFonts w:ascii="Calibri" w:eastAsia="Calibri" w:hAnsi="Calibri" w:cs="Calibri"/>
          <w:b/>
          <w:bCs/>
          <w:i/>
          <w:iCs/>
          <w:lang w:val="en-CA"/>
        </w:rPr>
        <w:t xml:space="preserve"> NESA policies are found to differ from such policies and agreements, it is important to note that such policies/agreements will take precedence over NESA program policies.</w:t>
      </w:r>
    </w:p>
    <w:tbl>
      <w:tblPr>
        <w:tblStyle w:val="TableGrid"/>
        <w:tblW w:w="0" w:type="auto"/>
        <w:tblLook w:val="04A0" w:firstRow="1" w:lastRow="0" w:firstColumn="1" w:lastColumn="0" w:noHBand="0" w:noVBand="1"/>
        <w:tblCaption w:val=""/>
        <w:tblDescription w:val=""/>
      </w:tblPr>
      <w:tblGrid>
        <w:gridCol w:w="4676"/>
        <w:gridCol w:w="4674"/>
      </w:tblGrid>
      <w:tr w:rsidR="00492D13" w:rsidRPr="00AD36A3" w14:paraId="6B55CBDA" w14:textId="77777777" w:rsidTr="00CD6DAF">
        <w:tc>
          <w:tcPr>
            <w:tcW w:w="4676" w:type="dxa"/>
          </w:tcPr>
          <w:p w14:paraId="01947E02" w14:textId="77777777" w:rsidR="00492D13" w:rsidRPr="00AD36A3" w:rsidRDefault="02C4A473" w:rsidP="007C1AA4">
            <w:pPr>
              <w:rPr>
                <w:rFonts w:ascii="Calibri" w:hAnsi="Calibri"/>
                <w:b/>
                <w:lang w:val="en-CA"/>
              </w:rPr>
            </w:pPr>
            <w:r w:rsidRPr="02C4A473">
              <w:rPr>
                <w:rFonts w:ascii="Calibri" w:eastAsia="Calibri" w:hAnsi="Calibri" w:cs="Calibri"/>
                <w:b/>
                <w:bCs/>
                <w:lang w:val="en-CA"/>
              </w:rPr>
              <w:t>Revised By/date:</w:t>
            </w:r>
          </w:p>
        </w:tc>
        <w:tc>
          <w:tcPr>
            <w:tcW w:w="4674" w:type="dxa"/>
          </w:tcPr>
          <w:p w14:paraId="47BE3EE0" w14:textId="77777777" w:rsidR="00492D13" w:rsidRPr="00AD36A3" w:rsidRDefault="02C4A473" w:rsidP="006F5E3D">
            <w:pPr>
              <w:rPr>
                <w:rFonts w:ascii="Calibri" w:hAnsi="Calibri"/>
                <w:lang w:val="en-CA"/>
              </w:rPr>
            </w:pPr>
            <w:r w:rsidRPr="02C4A473">
              <w:rPr>
                <w:rFonts w:ascii="Calibri" w:eastAsia="Calibri" w:hAnsi="Calibri" w:cs="Calibri"/>
                <w:b/>
                <w:bCs/>
                <w:lang w:val="en-CA"/>
              </w:rPr>
              <w:t>Approved by/date:</w:t>
            </w:r>
          </w:p>
        </w:tc>
      </w:tr>
      <w:tr w:rsidR="00AD2783" w:rsidRPr="00AD36A3" w14:paraId="58F2FFDA" w14:textId="77777777" w:rsidTr="00CD6DAF">
        <w:tc>
          <w:tcPr>
            <w:tcW w:w="4676" w:type="dxa"/>
          </w:tcPr>
          <w:p w14:paraId="0295827D" w14:textId="77777777" w:rsidR="00AD2783" w:rsidRPr="00441D3D" w:rsidRDefault="00AD2783" w:rsidP="00FA5EC6">
            <w:pPr>
              <w:rPr>
                <w:rFonts w:ascii="Calibri" w:hAnsi="Calibri"/>
                <w:lang w:val="en-CA"/>
              </w:rPr>
            </w:pPr>
          </w:p>
        </w:tc>
        <w:tc>
          <w:tcPr>
            <w:tcW w:w="4674" w:type="dxa"/>
          </w:tcPr>
          <w:p w14:paraId="66F0A6C2" w14:textId="5B5C1EBA" w:rsidR="00AD2783" w:rsidRPr="00441D3D" w:rsidRDefault="02C4A473" w:rsidP="00887757">
            <w:pPr>
              <w:rPr>
                <w:rFonts w:ascii="Calibri" w:hAnsi="Calibri"/>
                <w:lang w:val="en-CA"/>
              </w:rPr>
            </w:pPr>
            <w:r w:rsidRPr="02C4A473">
              <w:rPr>
                <w:rFonts w:ascii="Calibri" w:eastAsia="Calibri" w:hAnsi="Calibri" w:cs="Calibri"/>
                <w:lang w:val="en-CA"/>
              </w:rPr>
              <w:t>NESA Joint Faculty Council: April 18, 2012</w:t>
            </w:r>
          </w:p>
        </w:tc>
      </w:tr>
      <w:tr w:rsidR="00AD2783" w:rsidRPr="00AD36A3" w14:paraId="77C430D9" w14:textId="77777777" w:rsidTr="00CD6DAF">
        <w:tc>
          <w:tcPr>
            <w:tcW w:w="4676" w:type="dxa"/>
          </w:tcPr>
          <w:p w14:paraId="067FD192" w14:textId="6173CC19" w:rsidR="00AD2783" w:rsidRPr="00441D3D" w:rsidRDefault="02C4A473" w:rsidP="00FA5EC6">
            <w:pPr>
              <w:rPr>
                <w:rFonts w:ascii="Calibri" w:hAnsi="Calibri"/>
                <w:lang w:val="en-CA"/>
              </w:rPr>
            </w:pPr>
            <w:r w:rsidRPr="02C4A473">
              <w:rPr>
                <w:rFonts w:ascii="Calibri" w:eastAsia="Calibri" w:hAnsi="Calibri" w:cs="Calibri"/>
                <w:lang w:val="en-CA"/>
              </w:rPr>
              <w:t>Policy Review Committee: March 2014</w:t>
            </w:r>
          </w:p>
        </w:tc>
        <w:tc>
          <w:tcPr>
            <w:tcW w:w="4674" w:type="dxa"/>
          </w:tcPr>
          <w:p w14:paraId="7DE33189" w14:textId="7813AF4B" w:rsidR="00AD2783" w:rsidRPr="00887757" w:rsidRDefault="02C4A473" w:rsidP="006F5E3D">
            <w:pPr>
              <w:rPr>
                <w:rFonts w:ascii="Calibri" w:hAnsi="Calibri"/>
                <w:lang w:val="en-CA"/>
              </w:rPr>
            </w:pPr>
            <w:r w:rsidRPr="02C4A473">
              <w:rPr>
                <w:rFonts w:ascii="Calibri" w:eastAsia="Calibri" w:hAnsi="Calibri" w:cs="Calibri"/>
                <w:lang w:val="en-CA"/>
              </w:rPr>
              <w:t>NESA Joint Faculty Council: May 14, 2014</w:t>
            </w:r>
          </w:p>
        </w:tc>
      </w:tr>
      <w:tr w:rsidR="00EF5E2F" w:rsidRPr="00AD36A3" w14:paraId="7583B713" w14:textId="77777777" w:rsidTr="00CD6DAF">
        <w:tc>
          <w:tcPr>
            <w:tcW w:w="4676" w:type="dxa"/>
          </w:tcPr>
          <w:p w14:paraId="7F944A22" w14:textId="3269D5E4" w:rsidR="00EF5E2F" w:rsidRDefault="02C4A473" w:rsidP="00FA5EC6">
            <w:pPr>
              <w:rPr>
                <w:rFonts w:ascii="Calibri" w:hAnsi="Calibri"/>
                <w:lang w:val="en-CA"/>
              </w:rPr>
            </w:pPr>
            <w:r w:rsidRPr="02C4A473">
              <w:rPr>
                <w:rFonts w:ascii="Calibri" w:eastAsia="Calibri" w:hAnsi="Calibri" w:cs="Calibri"/>
                <w:lang w:val="en-CA"/>
              </w:rPr>
              <w:t>Policy Review Committee: February 2015</w:t>
            </w:r>
          </w:p>
        </w:tc>
        <w:tc>
          <w:tcPr>
            <w:tcW w:w="4674" w:type="dxa"/>
          </w:tcPr>
          <w:p w14:paraId="79CEDD29" w14:textId="701B1E08" w:rsidR="00EF5E2F" w:rsidRDefault="02C4A473" w:rsidP="006F5E3D">
            <w:pPr>
              <w:rPr>
                <w:rFonts w:ascii="Calibri" w:hAnsi="Calibri"/>
                <w:lang w:val="en-CA"/>
              </w:rPr>
            </w:pPr>
            <w:r w:rsidRPr="02C4A473">
              <w:rPr>
                <w:rFonts w:ascii="Calibri" w:eastAsia="Calibri" w:hAnsi="Calibri" w:cs="Calibri"/>
                <w:lang w:val="en-CA"/>
              </w:rPr>
              <w:t xml:space="preserve">Not </w:t>
            </w:r>
            <w:r w:rsidR="00792353">
              <w:rPr>
                <w:rFonts w:ascii="Calibri" w:eastAsia="Calibri" w:hAnsi="Calibri" w:cs="Calibri"/>
                <w:lang w:val="en-CA"/>
              </w:rPr>
              <w:t>R</w:t>
            </w:r>
            <w:r w:rsidRPr="02C4A473">
              <w:rPr>
                <w:rFonts w:ascii="Calibri" w:eastAsia="Calibri" w:hAnsi="Calibri" w:cs="Calibri"/>
                <w:lang w:val="en-CA"/>
              </w:rPr>
              <w:t>equired: no change</w:t>
            </w:r>
          </w:p>
        </w:tc>
      </w:tr>
      <w:tr w:rsidR="02C4A473" w14:paraId="2E62DE00" w14:textId="77777777" w:rsidTr="00CD6DAF">
        <w:tc>
          <w:tcPr>
            <w:tcW w:w="4676" w:type="dxa"/>
          </w:tcPr>
          <w:p w14:paraId="783229A1" w14:textId="213F5A81" w:rsidR="02C4A473" w:rsidRDefault="02C4A473" w:rsidP="02C4A473">
            <w:r w:rsidRPr="02C4A473">
              <w:rPr>
                <w:rFonts w:ascii="Calibri" w:eastAsia="Calibri" w:hAnsi="Calibri" w:cs="Calibri"/>
                <w:lang w:val="en-CA"/>
              </w:rPr>
              <w:t>Policy Review Committee: April 2016</w:t>
            </w:r>
          </w:p>
        </w:tc>
        <w:tc>
          <w:tcPr>
            <w:tcW w:w="4674" w:type="dxa"/>
          </w:tcPr>
          <w:p w14:paraId="53AC9EDD" w14:textId="2638B567" w:rsidR="02C4A473" w:rsidRDefault="02C4A473" w:rsidP="02C4A473">
            <w:r w:rsidRPr="02C4A473">
              <w:rPr>
                <w:rFonts w:ascii="Calibri" w:eastAsia="Calibri" w:hAnsi="Calibri" w:cs="Calibri"/>
                <w:lang w:val="en-CA"/>
              </w:rPr>
              <w:t>Not Required: no change</w:t>
            </w:r>
          </w:p>
        </w:tc>
      </w:tr>
      <w:tr w:rsidR="534BBDF6" w14:paraId="336ADE30" w14:textId="77777777" w:rsidTr="00CD6DAF">
        <w:tc>
          <w:tcPr>
            <w:tcW w:w="4676" w:type="dxa"/>
          </w:tcPr>
          <w:p w14:paraId="12C2F808" w14:textId="167FD611" w:rsidR="534BBDF6" w:rsidRDefault="534BBDF6" w:rsidP="534BBDF6">
            <w:pPr>
              <w:rPr>
                <w:rFonts w:ascii="Calibri" w:eastAsia="Calibri" w:hAnsi="Calibri" w:cs="Calibri"/>
                <w:lang w:val="en-CA"/>
              </w:rPr>
            </w:pPr>
            <w:r w:rsidRPr="534BBDF6">
              <w:rPr>
                <w:rFonts w:ascii="Calibri" w:eastAsia="Calibri" w:hAnsi="Calibri" w:cs="Calibri"/>
                <w:lang w:val="en-CA"/>
              </w:rPr>
              <w:t>Policy Review Committee: April 2017</w:t>
            </w:r>
          </w:p>
        </w:tc>
        <w:tc>
          <w:tcPr>
            <w:tcW w:w="4674" w:type="dxa"/>
          </w:tcPr>
          <w:p w14:paraId="3A2DF7DA" w14:textId="0DDC8B62" w:rsidR="534BBDF6" w:rsidRDefault="534BBDF6" w:rsidP="534BBDF6">
            <w:pPr>
              <w:rPr>
                <w:rFonts w:ascii="Calibri" w:eastAsia="Calibri" w:hAnsi="Calibri" w:cs="Calibri"/>
                <w:lang w:val="en-CA"/>
              </w:rPr>
            </w:pPr>
            <w:r w:rsidRPr="534BBDF6">
              <w:rPr>
                <w:rFonts w:ascii="Calibri" w:eastAsia="Calibri" w:hAnsi="Calibri" w:cs="Calibri"/>
                <w:lang w:val="en-CA"/>
              </w:rPr>
              <w:t>Not Required:</w:t>
            </w:r>
            <w:r w:rsidR="00792353">
              <w:rPr>
                <w:rFonts w:ascii="Calibri" w:eastAsia="Calibri" w:hAnsi="Calibri" w:cs="Calibri"/>
                <w:lang w:val="en-CA"/>
              </w:rPr>
              <w:t xml:space="preserve"> </w:t>
            </w:r>
            <w:r w:rsidRPr="534BBDF6">
              <w:rPr>
                <w:rFonts w:ascii="Calibri" w:eastAsia="Calibri" w:hAnsi="Calibri" w:cs="Calibri"/>
                <w:lang w:val="en-CA"/>
              </w:rPr>
              <w:t>no change</w:t>
            </w:r>
          </w:p>
        </w:tc>
      </w:tr>
      <w:tr w:rsidR="00BA071A" w14:paraId="0372CFB1" w14:textId="77777777" w:rsidTr="00CD6DAF">
        <w:tc>
          <w:tcPr>
            <w:tcW w:w="4676" w:type="dxa"/>
          </w:tcPr>
          <w:p w14:paraId="015A752F" w14:textId="212A50BB" w:rsidR="00BA071A" w:rsidRPr="534BBDF6" w:rsidRDefault="00BA071A" w:rsidP="534BBDF6">
            <w:pPr>
              <w:rPr>
                <w:rFonts w:ascii="Calibri" w:eastAsia="Calibri" w:hAnsi="Calibri" w:cs="Calibri"/>
                <w:lang w:val="en-CA"/>
              </w:rPr>
            </w:pPr>
            <w:r>
              <w:rPr>
                <w:rFonts w:ascii="Calibri" w:eastAsia="Calibri" w:hAnsi="Calibri" w:cs="Calibri"/>
                <w:lang w:val="en-CA"/>
              </w:rPr>
              <w:t>Policy Review Committee: April 2018</w:t>
            </w:r>
          </w:p>
        </w:tc>
        <w:tc>
          <w:tcPr>
            <w:tcW w:w="4674" w:type="dxa"/>
          </w:tcPr>
          <w:p w14:paraId="064E4326" w14:textId="7FC7809A" w:rsidR="00BA071A" w:rsidRPr="534BBDF6" w:rsidRDefault="00BA071A" w:rsidP="534BBDF6">
            <w:pPr>
              <w:rPr>
                <w:rFonts w:ascii="Calibri" w:eastAsia="Calibri" w:hAnsi="Calibri" w:cs="Calibri"/>
                <w:lang w:val="en-CA"/>
              </w:rPr>
            </w:pPr>
            <w:r>
              <w:rPr>
                <w:rFonts w:ascii="Calibri" w:eastAsia="Calibri" w:hAnsi="Calibri" w:cs="Calibri"/>
                <w:lang w:val="en-CA"/>
              </w:rPr>
              <w:t xml:space="preserve">Not </w:t>
            </w:r>
            <w:r w:rsidR="00792353">
              <w:rPr>
                <w:rFonts w:ascii="Calibri" w:eastAsia="Calibri" w:hAnsi="Calibri" w:cs="Calibri"/>
                <w:lang w:val="en-CA"/>
              </w:rPr>
              <w:t>R</w:t>
            </w:r>
            <w:r>
              <w:rPr>
                <w:rFonts w:ascii="Calibri" w:eastAsia="Calibri" w:hAnsi="Calibri" w:cs="Calibri"/>
                <w:lang w:val="en-CA"/>
              </w:rPr>
              <w:t>equired: editorial changes</w:t>
            </w:r>
          </w:p>
        </w:tc>
      </w:tr>
      <w:tr w:rsidR="008331C2" w14:paraId="1370D407" w14:textId="77777777" w:rsidTr="00CD6DAF">
        <w:tc>
          <w:tcPr>
            <w:tcW w:w="4676" w:type="dxa"/>
          </w:tcPr>
          <w:p w14:paraId="6CB3C0C5" w14:textId="05027730" w:rsidR="008331C2" w:rsidRDefault="008331C2" w:rsidP="534BBDF6">
            <w:pPr>
              <w:rPr>
                <w:rFonts w:ascii="Calibri" w:eastAsia="Calibri" w:hAnsi="Calibri" w:cs="Calibri"/>
                <w:lang w:val="en-CA"/>
              </w:rPr>
            </w:pPr>
            <w:r>
              <w:rPr>
                <w:rFonts w:ascii="Calibri" w:eastAsia="Calibri" w:hAnsi="Calibri" w:cs="Calibri"/>
                <w:lang w:val="en-CA"/>
              </w:rPr>
              <w:t>Policy Review Committee: January 2019</w:t>
            </w:r>
          </w:p>
        </w:tc>
        <w:tc>
          <w:tcPr>
            <w:tcW w:w="4674" w:type="dxa"/>
          </w:tcPr>
          <w:p w14:paraId="46F72C71" w14:textId="232D94B1" w:rsidR="008331C2" w:rsidRDefault="008331C2" w:rsidP="534BBDF6">
            <w:pPr>
              <w:rPr>
                <w:rFonts w:ascii="Calibri" w:eastAsia="Calibri" w:hAnsi="Calibri" w:cs="Calibri"/>
                <w:lang w:val="en-CA"/>
              </w:rPr>
            </w:pPr>
            <w:r>
              <w:rPr>
                <w:rFonts w:ascii="Calibri" w:eastAsia="Calibri" w:hAnsi="Calibri" w:cs="Calibri"/>
                <w:lang w:val="en-CA"/>
              </w:rPr>
              <w:t xml:space="preserve">Not </w:t>
            </w:r>
            <w:r w:rsidR="00792353">
              <w:rPr>
                <w:rFonts w:ascii="Calibri" w:eastAsia="Calibri" w:hAnsi="Calibri" w:cs="Calibri"/>
                <w:lang w:val="en-CA"/>
              </w:rPr>
              <w:t>R</w:t>
            </w:r>
            <w:r>
              <w:rPr>
                <w:rFonts w:ascii="Calibri" w:eastAsia="Calibri" w:hAnsi="Calibri" w:cs="Calibri"/>
                <w:lang w:val="en-CA"/>
              </w:rPr>
              <w:t>equired: no change</w:t>
            </w:r>
          </w:p>
        </w:tc>
      </w:tr>
      <w:tr w:rsidR="00792353" w14:paraId="48798B57" w14:textId="77777777" w:rsidTr="00CD6DAF">
        <w:tc>
          <w:tcPr>
            <w:tcW w:w="4676" w:type="dxa"/>
          </w:tcPr>
          <w:p w14:paraId="1A352C0D" w14:textId="61432180" w:rsidR="00792353" w:rsidRDefault="00792353" w:rsidP="534BBDF6">
            <w:pPr>
              <w:rPr>
                <w:rFonts w:ascii="Calibri" w:eastAsia="Calibri" w:hAnsi="Calibri" w:cs="Calibri"/>
                <w:lang w:val="en-CA"/>
              </w:rPr>
            </w:pPr>
            <w:r>
              <w:rPr>
                <w:rFonts w:ascii="Calibri" w:eastAsia="Calibri" w:hAnsi="Calibri" w:cs="Calibri"/>
                <w:lang w:val="en-CA"/>
              </w:rPr>
              <w:t>Policy Review Committee: February 2020</w:t>
            </w:r>
          </w:p>
        </w:tc>
        <w:tc>
          <w:tcPr>
            <w:tcW w:w="4674" w:type="dxa"/>
          </w:tcPr>
          <w:p w14:paraId="04E7B78F" w14:textId="0F11A152" w:rsidR="00792353" w:rsidRDefault="00792353" w:rsidP="534BBDF6">
            <w:pPr>
              <w:rPr>
                <w:rFonts w:ascii="Calibri" w:eastAsia="Calibri" w:hAnsi="Calibri" w:cs="Calibri"/>
                <w:lang w:val="en-CA"/>
              </w:rPr>
            </w:pPr>
            <w:r>
              <w:rPr>
                <w:rFonts w:ascii="Calibri" w:eastAsia="Calibri" w:hAnsi="Calibri" w:cs="Calibri"/>
                <w:lang w:val="en-CA"/>
              </w:rPr>
              <w:t>Not Required: link update</w:t>
            </w:r>
          </w:p>
        </w:tc>
      </w:tr>
      <w:tr w:rsidR="005A3C9F" w14:paraId="423F4837" w14:textId="77777777" w:rsidTr="00CD6DAF">
        <w:tc>
          <w:tcPr>
            <w:tcW w:w="4676" w:type="dxa"/>
          </w:tcPr>
          <w:p w14:paraId="3B7BB53C" w14:textId="1331CE8A" w:rsidR="005A3C9F" w:rsidRDefault="005A3C9F" w:rsidP="534BBDF6">
            <w:pPr>
              <w:rPr>
                <w:rFonts w:ascii="Calibri" w:eastAsia="Calibri" w:hAnsi="Calibri" w:cs="Calibri"/>
                <w:lang w:val="en-CA"/>
              </w:rPr>
            </w:pPr>
            <w:r>
              <w:rPr>
                <w:rFonts w:ascii="Calibri" w:eastAsia="Calibri" w:hAnsi="Calibri" w:cs="Calibri"/>
                <w:lang w:val="en-CA"/>
              </w:rPr>
              <w:t>Policy Review Committee: November 2020</w:t>
            </w:r>
          </w:p>
        </w:tc>
        <w:tc>
          <w:tcPr>
            <w:tcW w:w="4674" w:type="dxa"/>
          </w:tcPr>
          <w:p w14:paraId="13E48E99" w14:textId="79BEF0BE" w:rsidR="005A3C9F" w:rsidRDefault="005A3C9F" w:rsidP="534BBDF6">
            <w:pPr>
              <w:rPr>
                <w:rFonts w:ascii="Calibri" w:eastAsia="Calibri" w:hAnsi="Calibri" w:cs="Calibri"/>
                <w:lang w:val="en-CA"/>
              </w:rPr>
            </w:pPr>
            <w:r>
              <w:rPr>
                <w:rFonts w:ascii="Calibri" w:eastAsia="Calibri" w:hAnsi="Calibri" w:cs="Calibri"/>
                <w:lang w:val="en-CA"/>
              </w:rPr>
              <w:t>Updated Links/Resources only</w:t>
            </w:r>
          </w:p>
        </w:tc>
      </w:tr>
      <w:tr w:rsidR="00152883" w14:paraId="285BE0D4" w14:textId="77777777" w:rsidTr="00CD6DAF">
        <w:tc>
          <w:tcPr>
            <w:tcW w:w="4676" w:type="dxa"/>
          </w:tcPr>
          <w:p w14:paraId="435D4304" w14:textId="3F358303" w:rsidR="00152883" w:rsidRDefault="00152883" w:rsidP="534BBDF6">
            <w:pPr>
              <w:rPr>
                <w:rFonts w:ascii="Calibri" w:eastAsia="Calibri" w:hAnsi="Calibri" w:cs="Calibri"/>
                <w:lang w:val="en-CA"/>
              </w:rPr>
            </w:pPr>
            <w:r>
              <w:rPr>
                <w:rFonts w:ascii="Calibri" w:eastAsia="Calibri" w:hAnsi="Calibri" w:cs="Calibri"/>
                <w:lang w:val="en-CA"/>
              </w:rPr>
              <w:t>Policy Review Committee: April 2021</w:t>
            </w:r>
          </w:p>
        </w:tc>
        <w:tc>
          <w:tcPr>
            <w:tcW w:w="4674" w:type="dxa"/>
          </w:tcPr>
          <w:p w14:paraId="6BE0C113" w14:textId="65961A45" w:rsidR="00152883" w:rsidRDefault="00E87F40" w:rsidP="534BBDF6">
            <w:pPr>
              <w:rPr>
                <w:rFonts w:ascii="Calibri" w:eastAsia="Calibri" w:hAnsi="Calibri" w:cs="Calibri"/>
                <w:lang w:val="en-CA"/>
              </w:rPr>
            </w:pPr>
            <w:r>
              <w:rPr>
                <w:rFonts w:ascii="Calibri" w:eastAsia="Calibri" w:hAnsi="Calibri" w:cs="Calibri"/>
                <w:lang w:val="en-CA"/>
              </w:rPr>
              <w:t>NESA Joint Faculty Council: May 10, 2021</w:t>
            </w:r>
          </w:p>
        </w:tc>
      </w:tr>
    </w:tbl>
    <w:p w14:paraId="7C774CDA" w14:textId="77777777" w:rsidR="00FA5EC6" w:rsidRPr="00AD36A3" w:rsidRDefault="00FA5EC6" w:rsidP="00FA5EC6">
      <w:pPr>
        <w:rPr>
          <w:rFonts w:ascii="Calibri" w:hAnsi="Calibri"/>
          <w:lang w:val="en-CA"/>
        </w:rPr>
      </w:pPr>
    </w:p>
    <w:sectPr w:rsidR="00FA5EC6" w:rsidRPr="00AD36A3" w:rsidSect="00101B3A">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9E1CF" w14:textId="77777777" w:rsidR="00105729" w:rsidRDefault="00105729" w:rsidP="00BC28E4">
      <w:pPr>
        <w:spacing w:after="0" w:line="240" w:lineRule="auto"/>
      </w:pPr>
      <w:r>
        <w:separator/>
      </w:r>
    </w:p>
  </w:endnote>
  <w:endnote w:type="continuationSeparator" w:id="0">
    <w:p w14:paraId="2DAFB7E0" w14:textId="77777777" w:rsidR="00105729" w:rsidRDefault="00105729" w:rsidP="00BC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1002954"/>
      <w:docPartObj>
        <w:docPartGallery w:val="Page Numbers (Bottom of Page)"/>
        <w:docPartUnique/>
      </w:docPartObj>
    </w:sdtPr>
    <w:sdtEndPr>
      <w:rPr>
        <w:noProof/>
      </w:rPr>
    </w:sdtEndPr>
    <w:sdtContent>
      <w:p w14:paraId="598FC02C" w14:textId="627C832F" w:rsidR="00BC28E4" w:rsidRDefault="00BA3133">
        <w:pPr>
          <w:pStyle w:val="Footer"/>
          <w:jc w:val="center"/>
        </w:pPr>
        <w:r>
          <w:fldChar w:fldCharType="begin"/>
        </w:r>
        <w:r>
          <w:instrText xml:space="preserve"> PAGE   \* MERGEFORMAT </w:instrText>
        </w:r>
        <w:r>
          <w:fldChar w:fldCharType="separate"/>
        </w:r>
        <w:r w:rsidR="006F03EB">
          <w:rPr>
            <w:noProof/>
          </w:rPr>
          <w:t>2</w:t>
        </w:r>
        <w:r>
          <w:rPr>
            <w:noProof/>
          </w:rPr>
          <w:fldChar w:fldCharType="end"/>
        </w:r>
      </w:p>
    </w:sdtContent>
  </w:sdt>
  <w:p w14:paraId="77A07B0D" w14:textId="77777777" w:rsidR="00BC28E4" w:rsidRDefault="00BC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FCDC" w14:textId="77777777" w:rsidR="00105729" w:rsidRDefault="00105729" w:rsidP="00BC28E4">
      <w:pPr>
        <w:spacing w:after="0" w:line="240" w:lineRule="auto"/>
      </w:pPr>
      <w:r>
        <w:separator/>
      </w:r>
    </w:p>
  </w:footnote>
  <w:footnote w:type="continuationSeparator" w:id="0">
    <w:p w14:paraId="35A354F4" w14:textId="77777777" w:rsidR="00105729" w:rsidRDefault="00105729" w:rsidP="00BC2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39A7" w14:textId="77777777" w:rsidR="00BC28E4" w:rsidRDefault="00BC28E4">
    <w:pPr>
      <w:pStyle w:val="Header"/>
    </w:pPr>
  </w:p>
  <w:p w14:paraId="390A2184" w14:textId="77777777" w:rsidR="00BC28E4" w:rsidRPr="00BC28E4" w:rsidRDefault="00BC28E4">
    <w:pPr>
      <w:pStyle w:val="Header"/>
      <w:rPr>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474F"/>
    <w:multiLevelType w:val="hybridMultilevel"/>
    <w:tmpl w:val="ED02EDA4"/>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3">
      <w:start w:val="1"/>
      <w:numFmt w:val="upp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AE2166"/>
    <w:multiLevelType w:val="hybridMultilevel"/>
    <w:tmpl w:val="F6387308"/>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E81D8C"/>
    <w:multiLevelType w:val="hybridMultilevel"/>
    <w:tmpl w:val="6CD6CE2A"/>
    <w:lvl w:ilvl="0" w:tplc="04090019">
      <w:start w:val="1"/>
      <w:numFmt w:val="lowerLetter"/>
      <w:lvlText w:val="%1."/>
      <w:lvlJc w:val="left"/>
      <w:pPr>
        <w:ind w:left="1800" w:hanging="360"/>
      </w:pPr>
    </w:lvl>
    <w:lvl w:ilvl="1" w:tplc="E500DCF4">
      <w:start w:val="1"/>
      <w:numFmt w:val="lowerRoman"/>
      <w:lvlText w:val="%2."/>
      <w:lvlJc w:val="left"/>
      <w:pPr>
        <w:ind w:left="2520" w:hanging="360"/>
      </w:pPr>
      <w:rPr>
        <w:rFonts w:hint="default"/>
        <w:b w:val="0"/>
        <w:i w:val="0"/>
      </w:rPr>
    </w:lvl>
    <w:lvl w:ilvl="2" w:tplc="04090019">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155BE9"/>
    <w:multiLevelType w:val="hybridMultilevel"/>
    <w:tmpl w:val="71BA48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2F5194"/>
    <w:multiLevelType w:val="hybridMultilevel"/>
    <w:tmpl w:val="CA50EAAC"/>
    <w:lvl w:ilvl="0" w:tplc="1F8C876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22CCB"/>
    <w:multiLevelType w:val="hybridMultilevel"/>
    <w:tmpl w:val="517EBB44"/>
    <w:lvl w:ilvl="0" w:tplc="04090005">
      <w:start w:val="1"/>
      <w:numFmt w:val="bullet"/>
      <w:lvlText w:val=""/>
      <w:lvlJc w:val="left"/>
      <w:pPr>
        <w:ind w:left="2061" w:hanging="360"/>
      </w:pPr>
      <w:rPr>
        <w:rFonts w:ascii="Wingdings" w:hAnsi="Wingding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6" w15:restartNumberingAfterBreak="0">
    <w:nsid w:val="3DA63B4A"/>
    <w:multiLevelType w:val="hybridMultilevel"/>
    <w:tmpl w:val="73BC8CF0"/>
    <w:lvl w:ilvl="0" w:tplc="10090001">
      <w:start w:val="1"/>
      <w:numFmt w:val="bullet"/>
      <w:lvlText w:val=""/>
      <w:lvlJc w:val="left"/>
      <w:pPr>
        <w:tabs>
          <w:tab w:val="num" w:pos="180"/>
        </w:tabs>
        <w:ind w:left="180" w:hanging="360"/>
      </w:pPr>
      <w:rPr>
        <w:rFonts w:ascii="Symbol" w:hAnsi="Symbol" w:hint="default"/>
      </w:rPr>
    </w:lvl>
    <w:lvl w:ilvl="1" w:tplc="10090003" w:tentative="1">
      <w:start w:val="1"/>
      <w:numFmt w:val="bullet"/>
      <w:lvlText w:val="o"/>
      <w:lvlJc w:val="left"/>
      <w:pPr>
        <w:tabs>
          <w:tab w:val="num" w:pos="900"/>
        </w:tabs>
        <w:ind w:left="900" w:hanging="360"/>
      </w:pPr>
      <w:rPr>
        <w:rFonts w:ascii="Courier New" w:hAnsi="Courier New" w:cs="Courier New" w:hint="default"/>
      </w:rPr>
    </w:lvl>
    <w:lvl w:ilvl="2" w:tplc="10090005" w:tentative="1">
      <w:start w:val="1"/>
      <w:numFmt w:val="bullet"/>
      <w:lvlText w:val=""/>
      <w:lvlJc w:val="left"/>
      <w:pPr>
        <w:tabs>
          <w:tab w:val="num" w:pos="1620"/>
        </w:tabs>
        <w:ind w:left="1620" w:hanging="360"/>
      </w:pPr>
      <w:rPr>
        <w:rFonts w:ascii="Wingdings" w:hAnsi="Wingdings" w:hint="default"/>
      </w:rPr>
    </w:lvl>
    <w:lvl w:ilvl="3" w:tplc="10090001" w:tentative="1">
      <w:start w:val="1"/>
      <w:numFmt w:val="bullet"/>
      <w:lvlText w:val=""/>
      <w:lvlJc w:val="left"/>
      <w:pPr>
        <w:tabs>
          <w:tab w:val="num" w:pos="2340"/>
        </w:tabs>
        <w:ind w:left="2340" w:hanging="360"/>
      </w:pPr>
      <w:rPr>
        <w:rFonts w:ascii="Symbol" w:hAnsi="Symbol" w:hint="default"/>
      </w:rPr>
    </w:lvl>
    <w:lvl w:ilvl="4" w:tplc="10090003" w:tentative="1">
      <w:start w:val="1"/>
      <w:numFmt w:val="bullet"/>
      <w:lvlText w:val="o"/>
      <w:lvlJc w:val="left"/>
      <w:pPr>
        <w:tabs>
          <w:tab w:val="num" w:pos="3060"/>
        </w:tabs>
        <w:ind w:left="3060" w:hanging="360"/>
      </w:pPr>
      <w:rPr>
        <w:rFonts w:ascii="Courier New" w:hAnsi="Courier New" w:cs="Courier New" w:hint="default"/>
      </w:rPr>
    </w:lvl>
    <w:lvl w:ilvl="5" w:tplc="10090005" w:tentative="1">
      <w:start w:val="1"/>
      <w:numFmt w:val="bullet"/>
      <w:lvlText w:val=""/>
      <w:lvlJc w:val="left"/>
      <w:pPr>
        <w:tabs>
          <w:tab w:val="num" w:pos="3780"/>
        </w:tabs>
        <w:ind w:left="3780" w:hanging="360"/>
      </w:pPr>
      <w:rPr>
        <w:rFonts w:ascii="Wingdings" w:hAnsi="Wingdings" w:hint="default"/>
      </w:rPr>
    </w:lvl>
    <w:lvl w:ilvl="6" w:tplc="10090001" w:tentative="1">
      <w:start w:val="1"/>
      <w:numFmt w:val="bullet"/>
      <w:lvlText w:val=""/>
      <w:lvlJc w:val="left"/>
      <w:pPr>
        <w:tabs>
          <w:tab w:val="num" w:pos="4500"/>
        </w:tabs>
        <w:ind w:left="4500" w:hanging="360"/>
      </w:pPr>
      <w:rPr>
        <w:rFonts w:ascii="Symbol" w:hAnsi="Symbol" w:hint="default"/>
      </w:rPr>
    </w:lvl>
    <w:lvl w:ilvl="7" w:tplc="10090003" w:tentative="1">
      <w:start w:val="1"/>
      <w:numFmt w:val="bullet"/>
      <w:lvlText w:val="o"/>
      <w:lvlJc w:val="left"/>
      <w:pPr>
        <w:tabs>
          <w:tab w:val="num" w:pos="5220"/>
        </w:tabs>
        <w:ind w:left="5220" w:hanging="360"/>
      </w:pPr>
      <w:rPr>
        <w:rFonts w:ascii="Courier New" w:hAnsi="Courier New" w:cs="Courier New" w:hint="default"/>
      </w:rPr>
    </w:lvl>
    <w:lvl w:ilvl="8" w:tplc="10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E6911F9"/>
    <w:multiLevelType w:val="hybridMultilevel"/>
    <w:tmpl w:val="4B6CF3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006816"/>
    <w:multiLevelType w:val="hybridMultilevel"/>
    <w:tmpl w:val="A40C0848"/>
    <w:lvl w:ilvl="0" w:tplc="1F8C8766">
      <w:start w:val="1"/>
      <w:numFmt w:val="upperRoman"/>
      <w:lvlText w:val="%1."/>
      <w:lvlJc w:val="left"/>
      <w:pPr>
        <w:ind w:left="1080" w:hanging="720"/>
      </w:pPr>
      <w:rPr>
        <w:rFonts w:hint="default"/>
      </w:rPr>
    </w:lvl>
    <w:lvl w:ilvl="1" w:tplc="04090013">
      <w:start w:val="1"/>
      <w:numFmt w:val="upperRoman"/>
      <w:lvlText w:val="%2."/>
      <w:lvlJc w:val="right"/>
      <w:pPr>
        <w:ind w:left="1440" w:hanging="360"/>
      </w:p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E1168"/>
    <w:multiLevelType w:val="hybridMultilevel"/>
    <w:tmpl w:val="D85020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3DC3F7A"/>
    <w:multiLevelType w:val="hybridMultilevel"/>
    <w:tmpl w:val="FEACA98A"/>
    <w:lvl w:ilvl="0" w:tplc="1F8C8766">
      <w:start w:val="1"/>
      <w:numFmt w:val="upperRoman"/>
      <w:lvlText w:val="%1."/>
      <w:lvlJc w:val="left"/>
      <w:pPr>
        <w:ind w:left="1080" w:hanging="720"/>
      </w:pPr>
      <w:rPr>
        <w:rFonts w:hint="default"/>
      </w:rPr>
    </w:lvl>
    <w:lvl w:ilvl="1" w:tplc="04090005">
      <w:start w:val="1"/>
      <w:numFmt w:val="bullet"/>
      <w:lvlText w:val=""/>
      <w:lvlJc w:val="left"/>
      <w:pPr>
        <w:ind w:left="1440" w:hanging="360"/>
      </w:pPr>
      <w:rPr>
        <w:rFonts w:ascii="Wingdings" w:hAnsi="Wingdings" w:hint="default"/>
      </w:rPr>
    </w:lvl>
    <w:lvl w:ilvl="2" w:tplc="473E87BA">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717B41"/>
    <w:multiLevelType w:val="hybridMultilevel"/>
    <w:tmpl w:val="6366B1EC"/>
    <w:lvl w:ilvl="0" w:tplc="E500DCF4">
      <w:start w:val="1"/>
      <w:numFmt w:val="lowerRoman"/>
      <w:lvlText w:val="%1."/>
      <w:lvlJc w:val="left"/>
      <w:pPr>
        <w:ind w:left="2061" w:hanging="360"/>
      </w:pPr>
      <w:rPr>
        <w:rFonts w:hint="default"/>
        <w:b w:val="0"/>
        <w:i w:val="0"/>
      </w:rPr>
    </w:lvl>
    <w:lvl w:ilvl="1" w:tplc="04090019" w:tentative="1">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12" w15:restartNumberingAfterBreak="0">
    <w:nsid w:val="7DC54DD3"/>
    <w:multiLevelType w:val="hybridMultilevel"/>
    <w:tmpl w:val="DB5C134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9"/>
  </w:num>
  <w:num w:numId="3">
    <w:abstractNumId w:val="1"/>
  </w:num>
  <w:num w:numId="4">
    <w:abstractNumId w:val="11"/>
  </w:num>
  <w:num w:numId="5">
    <w:abstractNumId w:val="4"/>
  </w:num>
  <w:num w:numId="6">
    <w:abstractNumId w:val="10"/>
  </w:num>
  <w:num w:numId="7">
    <w:abstractNumId w:val="5"/>
  </w:num>
  <w:num w:numId="8">
    <w:abstractNumId w:val="12"/>
  </w:num>
  <w:num w:numId="9">
    <w:abstractNumId w:val="3"/>
  </w:num>
  <w:num w:numId="10">
    <w:abstractNumId w:val="0"/>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85"/>
    <w:rsid w:val="00010C23"/>
    <w:rsid w:val="0002181C"/>
    <w:rsid w:val="000972EF"/>
    <w:rsid w:val="000B7148"/>
    <w:rsid w:val="000C3994"/>
    <w:rsid w:val="000C6769"/>
    <w:rsid w:val="000F65D8"/>
    <w:rsid w:val="00100097"/>
    <w:rsid w:val="00101B3A"/>
    <w:rsid w:val="00105729"/>
    <w:rsid w:val="00107D61"/>
    <w:rsid w:val="00151983"/>
    <w:rsid w:val="00152883"/>
    <w:rsid w:val="00167E8F"/>
    <w:rsid w:val="001C43EB"/>
    <w:rsid w:val="0020322C"/>
    <w:rsid w:val="00204520"/>
    <w:rsid w:val="00215077"/>
    <w:rsid w:val="002866C1"/>
    <w:rsid w:val="00292C54"/>
    <w:rsid w:val="00295999"/>
    <w:rsid w:val="002B20B3"/>
    <w:rsid w:val="002D5BE5"/>
    <w:rsid w:val="002F7A57"/>
    <w:rsid w:val="00303167"/>
    <w:rsid w:val="00306645"/>
    <w:rsid w:val="00313F7F"/>
    <w:rsid w:val="00316CB2"/>
    <w:rsid w:val="00341F58"/>
    <w:rsid w:val="00342EE4"/>
    <w:rsid w:val="00357758"/>
    <w:rsid w:val="00365800"/>
    <w:rsid w:val="00371221"/>
    <w:rsid w:val="00385301"/>
    <w:rsid w:val="003A4A9A"/>
    <w:rsid w:val="003B1597"/>
    <w:rsid w:val="003E6D07"/>
    <w:rsid w:val="00404084"/>
    <w:rsid w:val="00406903"/>
    <w:rsid w:val="004232E0"/>
    <w:rsid w:val="00441D3D"/>
    <w:rsid w:val="00442B53"/>
    <w:rsid w:val="0044531A"/>
    <w:rsid w:val="00492D13"/>
    <w:rsid w:val="004A2BF6"/>
    <w:rsid w:val="004E2B4A"/>
    <w:rsid w:val="004F0AB8"/>
    <w:rsid w:val="004F40E5"/>
    <w:rsid w:val="00506890"/>
    <w:rsid w:val="00511526"/>
    <w:rsid w:val="005121E5"/>
    <w:rsid w:val="00534659"/>
    <w:rsid w:val="005420F6"/>
    <w:rsid w:val="0056022C"/>
    <w:rsid w:val="0056061C"/>
    <w:rsid w:val="0056595B"/>
    <w:rsid w:val="005660E9"/>
    <w:rsid w:val="0056674C"/>
    <w:rsid w:val="005A3C9F"/>
    <w:rsid w:val="005D303A"/>
    <w:rsid w:val="005D3D1B"/>
    <w:rsid w:val="005D67EC"/>
    <w:rsid w:val="005F031C"/>
    <w:rsid w:val="0060008A"/>
    <w:rsid w:val="0062667E"/>
    <w:rsid w:val="006A5E9B"/>
    <w:rsid w:val="006F03EB"/>
    <w:rsid w:val="006F5E3D"/>
    <w:rsid w:val="00702AF5"/>
    <w:rsid w:val="007150B6"/>
    <w:rsid w:val="00725527"/>
    <w:rsid w:val="00756911"/>
    <w:rsid w:val="00792353"/>
    <w:rsid w:val="007967BE"/>
    <w:rsid w:val="007C1AA4"/>
    <w:rsid w:val="007C4482"/>
    <w:rsid w:val="00823174"/>
    <w:rsid w:val="008331C2"/>
    <w:rsid w:val="00833FB7"/>
    <w:rsid w:val="00834688"/>
    <w:rsid w:val="00887757"/>
    <w:rsid w:val="00894084"/>
    <w:rsid w:val="00896D23"/>
    <w:rsid w:val="008A4A96"/>
    <w:rsid w:val="008B30F5"/>
    <w:rsid w:val="008D1D3E"/>
    <w:rsid w:val="00906F83"/>
    <w:rsid w:val="00913931"/>
    <w:rsid w:val="00914BDD"/>
    <w:rsid w:val="00930751"/>
    <w:rsid w:val="00960438"/>
    <w:rsid w:val="00963D43"/>
    <w:rsid w:val="00993AC4"/>
    <w:rsid w:val="009B4832"/>
    <w:rsid w:val="009F4395"/>
    <w:rsid w:val="009F6E6F"/>
    <w:rsid w:val="00A37F87"/>
    <w:rsid w:val="00A4108A"/>
    <w:rsid w:val="00A851DA"/>
    <w:rsid w:val="00A97C17"/>
    <w:rsid w:val="00AA49E1"/>
    <w:rsid w:val="00AC1E5F"/>
    <w:rsid w:val="00AD2783"/>
    <w:rsid w:val="00AD36A3"/>
    <w:rsid w:val="00AE6E18"/>
    <w:rsid w:val="00B12B60"/>
    <w:rsid w:val="00B55C8F"/>
    <w:rsid w:val="00BA071A"/>
    <w:rsid w:val="00BA3133"/>
    <w:rsid w:val="00BB23AC"/>
    <w:rsid w:val="00BB6580"/>
    <w:rsid w:val="00BC28E4"/>
    <w:rsid w:val="00C059F5"/>
    <w:rsid w:val="00C27104"/>
    <w:rsid w:val="00C357E6"/>
    <w:rsid w:val="00C6498C"/>
    <w:rsid w:val="00CD6DAF"/>
    <w:rsid w:val="00D06A1C"/>
    <w:rsid w:val="00D132AD"/>
    <w:rsid w:val="00D24B91"/>
    <w:rsid w:val="00D316ED"/>
    <w:rsid w:val="00D371B3"/>
    <w:rsid w:val="00D546C2"/>
    <w:rsid w:val="00D75385"/>
    <w:rsid w:val="00D76737"/>
    <w:rsid w:val="00D84246"/>
    <w:rsid w:val="00DA08D4"/>
    <w:rsid w:val="00E02143"/>
    <w:rsid w:val="00E02380"/>
    <w:rsid w:val="00E032CF"/>
    <w:rsid w:val="00E2659C"/>
    <w:rsid w:val="00E34B9B"/>
    <w:rsid w:val="00E36B95"/>
    <w:rsid w:val="00E41989"/>
    <w:rsid w:val="00E65B7D"/>
    <w:rsid w:val="00E72C28"/>
    <w:rsid w:val="00E774CD"/>
    <w:rsid w:val="00E87BDD"/>
    <w:rsid w:val="00E87F40"/>
    <w:rsid w:val="00E97445"/>
    <w:rsid w:val="00EA49DB"/>
    <w:rsid w:val="00EF5E2F"/>
    <w:rsid w:val="00EF7490"/>
    <w:rsid w:val="00F82807"/>
    <w:rsid w:val="00F87ABD"/>
    <w:rsid w:val="00FA5EC6"/>
    <w:rsid w:val="00FA748C"/>
    <w:rsid w:val="00FC1B3D"/>
    <w:rsid w:val="00FC753B"/>
    <w:rsid w:val="00FF02F1"/>
    <w:rsid w:val="00FF78EF"/>
    <w:rsid w:val="02C4A473"/>
    <w:rsid w:val="534BBDF6"/>
    <w:rsid w:val="5C3CAA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03EB"/>
  <w15:docId w15:val="{E63DA045-D86A-49E8-80BE-F74331F3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85"/>
    <w:pPr>
      <w:ind w:left="720"/>
      <w:contextualSpacing/>
    </w:pPr>
  </w:style>
  <w:style w:type="table" w:styleId="TableGrid">
    <w:name w:val="Table Grid"/>
    <w:basedOn w:val="TableNormal"/>
    <w:uiPriority w:val="59"/>
    <w:rsid w:val="00492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C676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C67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769"/>
    <w:rPr>
      <w:rFonts w:ascii="Tahoma" w:hAnsi="Tahoma" w:cs="Tahoma"/>
      <w:sz w:val="16"/>
      <w:szCs w:val="16"/>
    </w:rPr>
  </w:style>
  <w:style w:type="paragraph" w:styleId="Footer">
    <w:name w:val="footer"/>
    <w:basedOn w:val="Normal"/>
    <w:link w:val="FooterChar"/>
    <w:uiPriority w:val="99"/>
    <w:unhideWhenUsed/>
    <w:rsid w:val="00BC2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8E4"/>
  </w:style>
  <w:style w:type="character" w:styleId="Hyperlink">
    <w:name w:val="Hyperlink"/>
    <w:basedOn w:val="DefaultParagraphFont"/>
    <w:uiPriority w:val="99"/>
    <w:unhideWhenUsed/>
    <w:rsid w:val="005420F6"/>
    <w:rPr>
      <w:color w:val="0000FF" w:themeColor="hyperlink"/>
      <w:u w:val="single"/>
    </w:rPr>
  </w:style>
  <w:style w:type="character" w:styleId="FollowedHyperlink">
    <w:name w:val="FollowedHyperlink"/>
    <w:basedOn w:val="DefaultParagraphFont"/>
    <w:uiPriority w:val="99"/>
    <w:semiHidden/>
    <w:unhideWhenUsed/>
    <w:rsid w:val="005420F6"/>
    <w:rPr>
      <w:color w:val="800080" w:themeColor="followedHyperlink"/>
      <w:u w:val="single"/>
    </w:rPr>
  </w:style>
  <w:style w:type="character" w:styleId="CommentReference">
    <w:name w:val="annotation reference"/>
    <w:basedOn w:val="DefaultParagraphFont"/>
    <w:uiPriority w:val="99"/>
    <w:semiHidden/>
    <w:unhideWhenUsed/>
    <w:rsid w:val="00823174"/>
    <w:rPr>
      <w:sz w:val="18"/>
      <w:szCs w:val="18"/>
    </w:rPr>
  </w:style>
  <w:style w:type="paragraph" w:styleId="CommentText">
    <w:name w:val="annotation text"/>
    <w:basedOn w:val="Normal"/>
    <w:link w:val="CommentTextChar"/>
    <w:uiPriority w:val="99"/>
    <w:semiHidden/>
    <w:unhideWhenUsed/>
    <w:rsid w:val="00823174"/>
    <w:pPr>
      <w:spacing w:line="240" w:lineRule="auto"/>
    </w:pPr>
    <w:rPr>
      <w:sz w:val="24"/>
      <w:szCs w:val="24"/>
    </w:rPr>
  </w:style>
  <w:style w:type="character" w:customStyle="1" w:styleId="CommentTextChar">
    <w:name w:val="Comment Text Char"/>
    <w:basedOn w:val="DefaultParagraphFont"/>
    <w:link w:val="CommentText"/>
    <w:uiPriority w:val="99"/>
    <w:semiHidden/>
    <w:rsid w:val="00823174"/>
    <w:rPr>
      <w:sz w:val="24"/>
      <w:szCs w:val="24"/>
    </w:rPr>
  </w:style>
  <w:style w:type="paragraph" w:styleId="CommentSubject">
    <w:name w:val="annotation subject"/>
    <w:basedOn w:val="CommentText"/>
    <w:next w:val="CommentText"/>
    <w:link w:val="CommentSubjectChar"/>
    <w:uiPriority w:val="99"/>
    <w:semiHidden/>
    <w:unhideWhenUsed/>
    <w:rsid w:val="00823174"/>
    <w:rPr>
      <w:b/>
      <w:bCs/>
      <w:sz w:val="20"/>
      <w:szCs w:val="20"/>
    </w:rPr>
  </w:style>
  <w:style w:type="character" w:customStyle="1" w:styleId="CommentSubjectChar">
    <w:name w:val="Comment Subject Char"/>
    <w:basedOn w:val="CommentTextChar"/>
    <w:link w:val="CommentSubject"/>
    <w:uiPriority w:val="99"/>
    <w:semiHidden/>
    <w:rsid w:val="00823174"/>
    <w:rPr>
      <w:b/>
      <w:bCs/>
      <w:sz w:val="20"/>
      <w:szCs w:val="20"/>
    </w:rPr>
  </w:style>
  <w:style w:type="paragraph" w:styleId="Bibliography">
    <w:name w:val="Bibliography"/>
    <w:basedOn w:val="Normal"/>
    <w:next w:val="Normal"/>
    <w:uiPriority w:val="37"/>
    <w:unhideWhenUsed/>
    <w:rsid w:val="004E2B4A"/>
    <w:pPr>
      <w:spacing w:after="160" w:line="259" w:lineRule="auto"/>
    </w:pPr>
  </w:style>
  <w:style w:type="paragraph" w:styleId="Revision">
    <w:name w:val="Revision"/>
    <w:hidden/>
    <w:uiPriority w:val="99"/>
    <w:semiHidden/>
    <w:rsid w:val="00BA071A"/>
    <w:pPr>
      <w:spacing w:after="0" w:line="240" w:lineRule="auto"/>
    </w:pPr>
  </w:style>
  <w:style w:type="character" w:styleId="UnresolvedMention">
    <w:name w:val="Unresolved Mention"/>
    <w:basedOn w:val="DefaultParagraphFont"/>
    <w:uiPriority w:val="99"/>
    <w:semiHidden/>
    <w:unhideWhenUsed/>
    <w:rsid w:val="00357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rses.ab.ca/docs/default-source/document-library/guidelines/medication-and-vaccine-injection-safety-guidelines.pdf?sfvrsn=4e30ebbc_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qp.alberta.ca/documents/Regs/2005_232.pdf" TargetMode="External"/><Relationship Id="rId4" Type="http://schemas.openxmlformats.org/officeDocument/2006/relationships/webSettings" Target="webSettings.xml"/><Relationship Id="rId9" Type="http://schemas.openxmlformats.org/officeDocument/2006/relationships/hyperlink" Target="https://nurses.ab.ca/docs/default-source/document-library/standards/medication-management-standards.pdf?sfvrsn=4265098d_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Spenceley, Shannon</dc:creator>
  <cp:lastModifiedBy>Taiki Marthiensen</cp:lastModifiedBy>
  <cp:revision>2</cp:revision>
  <cp:lastPrinted>2019-11-29T17:06:00Z</cp:lastPrinted>
  <dcterms:created xsi:type="dcterms:W3CDTF">2021-05-14T16:26:00Z</dcterms:created>
  <dcterms:modified xsi:type="dcterms:W3CDTF">2021-05-14T16:26:00Z</dcterms:modified>
</cp:coreProperties>
</file>