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53AF" w14:textId="77777777" w:rsidR="007150B6" w:rsidRPr="000C6769" w:rsidRDefault="00D84246" w:rsidP="000C6769">
      <w:pPr>
        <w:pStyle w:val="Header"/>
      </w:pPr>
      <w:r>
        <w:rPr>
          <w:lang w:val="en-CA"/>
        </w:rPr>
        <w:t xml:space="preserve"> </w:t>
      </w:r>
      <w:r w:rsidR="000C6769">
        <w:rPr>
          <w:rFonts w:ascii="Arial" w:hAnsi="Arial" w:cs="Arial"/>
          <w:b/>
          <w:noProof/>
          <w:sz w:val="20"/>
          <w:szCs w:val="20"/>
          <w:lang w:val="en-CA" w:eastAsia="en-CA"/>
        </w:rPr>
        <w:drawing>
          <wp:inline distT="0" distB="0" distL="0" distR="0" wp14:anchorId="6F99CA45" wp14:editId="07777777">
            <wp:extent cx="2667000" cy="723900"/>
            <wp:effectExtent l="0" t="0" r="0" b="0"/>
            <wp:docPr id="1" name="Picture 1" descr="NESA_BNPr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A_BNProgra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E6CD" w14:textId="516D10B2" w:rsidR="00D75385" w:rsidRPr="00E30E20" w:rsidRDefault="00993487" w:rsidP="008A4A96">
      <w:pPr>
        <w:spacing w:before="240"/>
        <w:jc w:val="center"/>
        <w:rPr>
          <w:b/>
          <w:sz w:val="16"/>
          <w:szCs w:val="16"/>
          <w:lang w:val="en-CA"/>
        </w:rPr>
      </w:pPr>
      <w:r>
        <w:rPr>
          <w:b/>
          <w:sz w:val="36"/>
          <w:szCs w:val="36"/>
          <w:lang w:val="en-CA"/>
        </w:rPr>
        <w:br/>
      </w:r>
      <w:r w:rsidR="00D571C4">
        <w:rPr>
          <w:b/>
          <w:sz w:val="36"/>
          <w:szCs w:val="36"/>
          <w:lang w:val="en-CA"/>
        </w:rPr>
        <w:t>Guideline:</w:t>
      </w:r>
      <w:r w:rsidR="006D46B6">
        <w:rPr>
          <w:b/>
          <w:sz w:val="36"/>
          <w:szCs w:val="36"/>
          <w:lang w:val="en-CA"/>
        </w:rPr>
        <w:t xml:space="preserve"> </w:t>
      </w:r>
      <w:r w:rsidR="00D8344B">
        <w:rPr>
          <w:b/>
          <w:sz w:val="36"/>
          <w:szCs w:val="36"/>
          <w:lang w:val="en-CA"/>
        </w:rPr>
        <w:t>Student Reference Request</w:t>
      </w:r>
      <w:r w:rsidR="00137AF1">
        <w:rPr>
          <w:b/>
          <w:sz w:val="36"/>
          <w:szCs w:val="36"/>
          <w:lang w:val="en-CA"/>
        </w:rPr>
        <w:t xml:space="preserve"> </w:t>
      </w:r>
      <w:r w:rsidR="00E30E20">
        <w:rPr>
          <w:b/>
          <w:sz w:val="36"/>
          <w:szCs w:val="36"/>
          <w:lang w:val="en-CA"/>
        </w:rPr>
        <w:br/>
      </w:r>
    </w:p>
    <w:p w14:paraId="4FDE0C91" w14:textId="77777777" w:rsidR="000C6769" w:rsidRPr="00D24B91" w:rsidRDefault="00993AC4" w:rsidP="00D24B91">
      <w:pPr>
        <w:pBdr>
          <w:bottom w:val="single" w:sz="4" w:space="1" w:color="auto"/>
        </w:pBdr>
        <w:rPr>
          <w:b/>
          <w:lang w:val="en-CA"/>
        </w:rPr>
      </w:pPr>
      <w:r>
        <w:rPr>
          <w:b/>
          <w:lang w:val="en-CA"/>
        </w:rPr>
        <w:t>PURPOSE:</w:t>
      </w:r>
    </w:p>
    <w:p w14:paraId="7DC58E4A" w14:textId="6026615E" w:rsidR="00D75385" w:rsidRPr="00822159" w:rsidRDefault="00D75385" w:rsidP="00822159">
      <w:pPr>
        <w:rPr>
          <w:i/>
          <w:lang w:val="en-CA"/>
        </w:rPr>
      </w:pPr>
      <w:r w:rsidRPr="00137AF1">
        <w:rPr>
          <w:lang w:val="en-CA"/>
        </w:rPr>
        <w:t>Th</w:t>
      </w:r>
      <w:r w:rsidR="000C6769" w:rsidRPr="00137AF1">
        <w:rPr>
          <w:lang w:val="en-CA"/>
        </w:rPr>
        <w:t xml:space="preserve">e purpose of this </w:t>
      </w:r>
      <w:r w:rsidR="00D571C4" w:rsidRPr="00137AF1">
        <w:rPr>
          <w:lang w:val="en-CA"/>
        </w:rPr>
        <w:t>guideline</w:t>
      </w:r>
      <w:r w:rsidR="000C6769" w:rsidRPr="00137AF1">
        <w:rPr>
          <w:lang w:val="en-CA"/>
        </w:rPr>
        <w:t xml:space="preserve"> is to</w:t>
      </w:r>
      <w:r w:rsidR="00D8344B">
        <w:rPr>
          <w:lang w:val="en-CA"/>
        </w:rPr>
        <w:t xml:space="preserve"> outline the reference request</w:t>
      </w:r>
      <w:r w:rsidR="00137AF1">
        <w:rPr>
          <w:lang w:val="en-CA"/>
        </w:rPr>
        <w:t xml:space="preserve"> process for students interested in applying for </w:t>
      </w:r>
      <w:r w:rsidR="00D8344B">
        <w:rPr>
          <w:lang w:val="en-CA"/>
        </w:rPr>
        <w:t>student employment</w:t>
      </w:r>
      <w:r w:rsidR="00DE50D6">
        <w:rPr>
          <w:lang w:val="en-CA"/>
        </w:rPr>
        <w:t xml:space="preserve"> and/or scholarships</w:t>
      </w:r>
      <w:r w:rsidR="00137AF1">
        <w:rPr>
          <w:lang w:val="en-CA"/>
        </w:rPr>
        <w:t>.</w:t>
      </w:r>
      <w:r w:rsidR="000C6769" w:rsidRPr="00822159">
        <w:rPr>
          <w:i/>
          <w:lang w:val="en-CA"/>
        </w:rPr>
        <w:t xml:space="preserve"> </w:t>
      </w:r>
      <w:r w:rsidR="00993487">
        <w:rPr>
          <w:i/>
          <w:lang w:val="en-CA"/>
        </w:rPr>
        <w:br/>
      </w:r>
    </w:p>
    <w:p w14:paraId="5BB3D780" w14:textId="77777777" w:rsidR="00D571C4" w:rsidRPr="00D571C4" w:rsidRDefault="00D571C4" w:rsidP="000F65D8">
      <w:pPr>
        <w:pBdr>
          <w:bottom w:val="single" w:sz="4" w:space="1" w:color="auto"/>
        </w:pBdr>
        <w:rPr>
          <w:b/>
          <w:lang w:val="en-CA"/>
        </w:rPr>
      </w:pPr>
      <w:r w:rsidRPr="00D571C4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7247F8" wp14:editId="1B3FE87C">
                <wp:simplePos x="0" y="0"/>
                <wp:positionH relativeFrom="column">
                  <wp:posOffset>38100</wp:posOffset>
                </wp:positionH>
                <wp:positionV relativeFrom="paragraph">
                  <wp:posOffset>210820</wp:posOffset>
                </wp:positionV>
                <wp:extent cx="5886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84B7DCA">
              <v:line id="Straight Connector 2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3pt,16.6pt" to="466.5pt,16.6pt" w14:anchorId="7B0ED9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UbzwEAAAMEAAAOAAAAZHJzL2Uyb0RvYy54bWysU02P0zAQvSPxHyzfadKKXVV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"/>
            </w:pict>
          </mc:Fallback>
        </mc:AlternateContent>
      </w:r>
      <w:r w:rsidRPr="00D571C4">
        <w:rPr>
          <w:b/>
          <w:lang w:val="en-CA"/>
        </w:rPr>
        <w:t>BACKGROUND:</w:t>
      </w:r>
    </w:p>
    <w:p w14:paraId="2C92CC2F" w14:textId="3B7231C9" w:rsidR="00D571C4" w:rsidRPr="00137AF1" w:rsidRDefault="00CF4159" w:rsidP="000F65D8">
      <w:pPr>
        <w:pBdr>
          <w:bottom w:val="single" w:sz="4" w:space="1" w:color="auto"/>
        </w:pBdr>
        <w:rPr>
          <w:lang w:val="en-CA"/>
        </w:rPr>
      </w:pPr>
      <w:r>
        <w:rPr>
          <w:lang w:val="en-CA"/>
        </w:rPr>
        <w:t>Students in the NESA BN P</w:t>
      </w:r>
      <w:r w:rsidR="00D8344B">
        <w:rPr>
          <w:lang w:val="en-CA"/>
        </w:rPr>
        <w:t>rogram</w:t>
      </w:r>
      <w:r>
        <w:rPr>
          <w:lang w:val="en-CA"/>
        </w:rPr>
        <w:t>s</w:t>
      </w:r>
      <w:r w:rsidR="00D8344B">
        <w:rPr>
          <w:lang w:val="en-CA"/>
        </w:rPr>
        <w:t xml:space="preserve"> frequently pursue student employment</w:t>
      </w:r>
      <w:r w:rsidR="0066315A">
        <w:rPr>
          <w:lang w:val="en-CA"/>
        </w:rPr>
        <w:t xml:space="preserve"> and/or scholarships</w:t>
      </w:r>
      <w:r w:rsidR="00D8344B">
        <w:rPr>
          <w:lang w:val="en-CA"/>
        </w:rPr>
        <w:t xml:space="preserve"> during their nursing education and seek instructors’ references. A clear process is needed to ensure </w:t>
      </w:r>
      <w:r w:rsidR="00DE50D6">
        <w:rPr>
          <w:lang w:val="en-CA"/>
        </w:rPr>
        <w:t xml:space="preserve">that </w:t>
      </w:r>
      <w:r w:rsidR="00E075BC">
        <w:rPr>
          <w:lang w:val="en-CA"/>
        </w:rPr>
        <w:t xml:space="preserve">the provisions of the </w:t>
      </w:r>
      <w:r w:rsidR="00DE50D6" w:rsidRPr="000959E1">
        <w:rPr>
          <w:i/>
          <w:lang w:val="en-CA"/>
        </w:rPr>
        <w:t>Freedom of Information and Protection of Privacy (</w:t>
      </w:r>
      <w:r w:rsidR="00D8344B" w:rsidRPr="000959E1">
        <w:rPr>
          <w:i/>
          <w:lang w:val="en-CA"/>
        </w:rPr>
        <w:t>FOIP</w:t>
      </w:r>
      <w:r w:rsidR="00DE50D6" w:rsidRPr="000959E1">
        <w:rPr>
          <w:i/>
          <w:lang w:val="en-CA"/>
        </w:rPr>
        <w:t>) Act</w:t>
      </w:r>
      <w:r w:rsidR="00D8344B">
        <w:rPr>
          <w:lang w:val="en-CA"/>
        </w:rPr>
        <w:t xml:space="preserve"> </w:t>
      </w:r>
      <w:r w:rsidR="00E075BC">
        <w:rPr>
          <w:lang w:val="en-CA"/>
        </w:rPr>
        <w:t>are complied with</w:t>
      </w:r>
      <w:r w:rsidR="00D8344B">
        <w:rPr>
          <w:lang w:val="en-CA"/>
        </w:rPr>
        <w:t xml:space="preserve"> during the reference request process. </w:t>
      </w:r>
      <w:r w:rsidR="00993487">
        <w:rPr>
          <w:lang w:val="en-CA"/>
        </w:rPr>
        <w:br/>
      </w:r>
    </w:p>
    <w:p w14:paraId="2A575A21" w14:textId="77777777" w:rsidR="000F65D8" w:rsidRPr="002F7A57" w:rsidRDefault="000F65D8" w:rsidP="000F65D8">
      <w:pPr>
        <w:pBdr>
          <w:bottom w:val="single" w:sz="4" w:space="1" w:color="auto"/>
        </w:pBdr>
        <w:rPr>
          <w:lang w:val="en-CA"/>
        </w:rPr>
      </w:pPr>
      <w:r w:rsidRPr="002F7A57">
        <w:rPr>
          <w:b/>
          <w:lang w:val="en-CA"/>
        </w:rPr>
        <w:t>DEFINITIONS:</w:t>
      </w:r>
    </w:p>
    <w:p w14:paraId="32690954" w14:textId="26ECAF4F" w:rsidR="000F65D8" w:rsidRPr="00DE50D6" w:rsidRDefault="00DE50D6" w:rsidP="00DE50D6">
      <w:pPr>
        <w:rPr>
          <w:lang w:val="en"/>
        </w:rPr>
      </w:pPr>
      <w:r w:rsidRPr="00DE50D6">
        <w:rPr>
          <w:b/>
          <w:i/>
          <w:lang w:val="en-CA"/>
        </w:rPr>
        <w:t>Freedom of Information and Protection of Privacy (FOIP) Act:</w:t>
      </w:r>
      <w:r>
        <w:rPr>
          <w:lang w:val="en-CA"/>
        </w:rPr>
        <w:t xml:space="preserve"> </w:t>
      </w:r>
      <w:r w:rsidRPr="00DE50D6">
        <w:rPr>
          <w:lang w:val="en"/>
        </w:rPr>
        <w:t xml:space="preserve">This Act protects an individual's privacy by setting out rules for collection, use or disclosure of personal information by public bodies. It also provides a method of requesting access to information which is not available by other means. </w:t>
      </w:r>
      <w:r w:rsidR="00993487">
        <w:rPr>
          <w:lang w:val="en"/>
        </w:rPr>
        <w:br/>
      </w:r>
    </w:p>
    <w:p w14:paraId="4FC0178C" w14:textId="77777777" w:rsidR="000C6769" w:rsidRPr="00D24B91" w:rsidRDefault="00D571C4" w:rsidP="00D24B91">
      <w:pPr>
        <w:pBdr>
          <w:bottom w:val="single" w:sz="4" w:space="1" w:color="auto"/>
        </w:pBdr>
        <w:rPr>
          <w:b/>
          <w:lang w:val="en-CA"/>
        </w:rPr>
      </w:pPr>
      <w:r>
        <w:rPr>
          <w:b/>
          <w:lang w:val="en-CA"/>
        </w:rPr>
        <w:t>GUIDELINE</w:t>
      </w:r>
      <w:r w:rsidR="002F7A57">
        <w:rPr>
          <w:b/>
          <w:lang w:val="en-CA"/>
        </w:rPr>
        <w:t xml:space="preserve"> SCOPE</w:t>
      </w:r>
      <w:r w:rsidR="00993AC4">
        <w:rPr>
          <w:b/>
          <w:lang w:val="en-CA"/>
        </w:rPr>
        <w:t>:</w:t>
      </w:r>
    </w:p>
    <w:p w14:paraId="7B1D50E8" w14:textId="610E2185" w:rsidR="008D64D4" w:rsidRPr="00137AF1" w:rsidRDefault="00137AF1" w:rsidP="00822159">
      <w:pPr>
        <w:rPr>
          <w:lang w:val="en-CA"/>
        </w:rPr>
      </w:pPr>
      <w:r>
        <w:rPr>
          <w:lang w:val="en-CA"/>
        </w:rPr>
        <w:t>This guideline applies to all students enrolled in the NESA BN Program</w:t>
      </w:r>
      <w:r w:rsidR="00CF4159">
        <w:rPr>
          <w:lang w:val="en-CA"/>
        </w:rPr>
        <w:t>s</w:t>
      </w:r>
      <w:r>
        <w:rPr>
          <w:lang w:val="en-CA"/>
        </w:rPr>
        <w:t>.</w:t>
      </w:r>
      <w:r w:rsidR="00993487">
        <w:rPr>
          <w:lang w:val="en-CA"/>
        </w:rPr>
        <w:br/>
      </w:r>
    </w:p>
    <w:p w14:paraId="35192143" w14:textId="77777777" w:rsidR="000C6769" w:rsidRPr="002F7A57" w:rsidRDefault="00993AC4" w:rsidP="002F7A57">
      <w:pPr>
        <w:pBdr>
          <w:bottom w:val="single" w:sz="4" w:space="1" w:color="auto"/>
        </w:pBdr>
        <w:rPr>
          <w:b/>
          <w:lang w:val="en-CA"/>
        </w:rPr>
      </w:pPr>
      <w:r w:rsidRPr="002F7A57">
        <w:rPr>
          <w:b/>
          <w:lang w:val="en-CA"/>
        </w:rPr>
        <w:t xml:space="preserve">SPECIFICS OF THE </w:t>
      </w:r>
      <w:r w:rsidR="00D571C4">
        <w:rPr>
          <w:b/>
          <w:lang w:val="en-CA"/>
        </w:rPr>
        <w:t>GUIDELINE</w:t>
      </w:r>
      <w:r w:rsidRPr="002F7A57">
        <w:rPr>
          <w:b/>
          <w:lang w:val="en-CA"/>
        </w:rPr>
        <w:t xml:space="preserve">: </w:t>
      </w:r>
    </w:p>
    <w:p w14:paraId="4460BC66" w14:textId="77777777" w:rsidR="00137AF1" w:rsidRDefault="00D8344B" w:rsidP="00822159">
      <w:pPr>
        <w:spacing w:after="0" w:line="240" w:lineRule="auto"/>
        <w:rPr>
          <w:lang w:val="en-CA"/>
        </w:rPr>
      </w:pPr>
      <w:r>
        <w:rPr>
          <w:lang w:val="en-CA"/>
        </w:rPr>
        <w:t>1</w:t>
      </w:r>
      <w:r w:rsidR="006879B1">
        <w:rPr>
          <w:lang w:val="en-CA"/>
        </w:rPr>
        <w:t xml:space="preserve">.  A student </w:t>
      </w:r>
      <w:r w:rsidR="00137AF1">
        <w:rPr>
          <w:lang w:val="en-CA"/>
        </w:rPr>
        <w:t xml:space="preserve">who </w:t>
      </w:r>
      <w:r w:rsidR="006879B1">
        <w:rPr>
          <w:lang w:val="en-CA"/>
        </w:rPr>
        <w:t>is seeking</w:t>
      </w:r>
      <w:r>
        <w:rPr>
          <w:lang w:val="en-CA"/>
        </w:rPr>
        <w:t xml:space="preserve"> a reference must</w:t>
      </w:r>
      <w:r w:rsidR="00137AF1">
        <w:rPr>
          <w:lang w:val="en-CA"/>
        </w:rPr>
        <w:t xml:space="preserve"> complete the </w:t>
      </w:r>
      <w:r>
        <w:rPr>
          <w:lang w:val="en-CA"/>
        </w:rPr>
        <w:t>Student Reference Request</w:t>
      </w:r>
      <w:r w:rsidR="00137AF1">
        <w:rPr>
          <w:lang w:val="en-CA"/>
        </w:rPr>
        <w:t xml:space="preserve"> and return it to the </w:t>
      </w:r>
      <w:r>
        <w:rPr>
          <w:lang w:val="en-CA"/>
        </w:rPr>
        <w:t>faculty member prior to receiving a reference</w:t>
      </w:r>
      <w:r w:rsidR="00137AF1">
        <w:rPr>
          <w:lang w:val="en-CA"/>
        </w:rPr>
        <w:t>.</w:t>
      </w:r>
      <w:r w:rsidR="006879B1">
        <w:rPr>
          <w:lang w:val="en-CA"/>
        </w:rPr>
        <w:t xml:space="preserve"> </w:t>
      </w:r>
      <w:r w:rsidR="006879B1" w:rsidRPr="00435F62">
        <w:rPr>
          <w:i/>
          <w:lang w:val="en-CA"/>
        </w:rPr>
        <w:t>See Appendix A</w:t>
      </w:r>
      <w:r w:rsidR="006879B1">
        <w:rPr>
          <w:lang w:val="en-CA"/>
        </w:rPr>
        <w:t xml:space="preserve">. </w:t>
      </w:r>
    </w:p>
    <w:p w14:paraId="72D8E64C" w14:textId="29A02151" w:rsidR="00137AF1" w:rsidRDefault="2B2EAEBB" w:rsidP="00822159">
      <w:pPr>
        <w:spacing w:after="0" w:line="240" w:lineRule="auto"/>
        <w:rPr>
          <w:lang w:val="en-CA"/>
        </w:rPr>
      </w:pPr>
      <w:r w:rsidRPr="2B2EAEBB">
        <w:rPr>
          <w:lang w:val="en-CA"/>
        </w:rPr>
        <w:t>2.  Students will also complete the required documentation from the affiliated institution (Lethbridge College and/or University of Lethbridge).</w:t>
      </w:r>
      <w:r w:rsidR="00993487">
        <w:rPr>
          <w:lang w:val="en-CA"/>
        </w:rPr>
        <w:br/>
      </w:r>
      <w:r w:rsidR="00993487">
        <w:rPr>
          <w:lang w:val="en-CA"/>
        </w:rPr>
        <w:br/>
      </w:r>
      <w:r w:rsidR="00993487">
        <w:rPr>
          <w:lang w:val="en-CA"/>
        </w:rPr>
        <w:br/>
      </w:r>
    </w:p>
    <w:p w14:paraId="19EBDAD8" w14:textId="77777777" w:rsidR="00D8344B" w:rsidRDefault="00D8344B" w:rsidP="00822159">
      <w:pPr>
        <w:spacing w:after="0" w:line="240" w:lineRule="auto"/>
        <w:rPr>
          <w:lang w:val="en-CA"/>
        </w:rPr>
      </w:pPr>
    </w:p>
    <w:p w14:paraId="1671CCB5" w14:textId="77777777" w:rsidR="00D75385" w:rsidRPr="007C1AA4" w:rsidRDefault="00993AC4" w:rsidP="002F7A57">
      <w:pPr>
        <w:pBdr>
          <w:bottom w:val="single" w:sz="4" w:space="1" w:color="auto"/>
        </w:pBdr>
        <w:rPr>
          <w:b/>
          <w:lang w:val="en-CA"/>
        </w:rPr>
      </w:pPr>
      <w:r w:rsidRPr="007C1AA4">
        <w:rPr>
          <w:b/>
          <w:lang w:val="en-CA"/>
        </w:rPr>
        <w:lastRenderedPageBreak/>
        <w:t>APPENDIX:</w:t>
      </w:r>
    </w:p>
    <w:p w14:paraId="673BB80A" w14:textId="77777777" w:rsidR="0060008A" w:rsidRPr="007458DD" w:rsidRDefault="2B2EAEBB" w:rsidP="00822159">
      <w:pPr>
        <w:rPr>
          <w:lang w:val="en-CA"/>
        </w:rPr>
      </w:pPr>
      <w:r w:rsidRPr="2B2EAEBB">
        <w:rPr>
          <w:lang w:val="en-CA"/>
        </w:rPr>
        <w:t>Appendix: Student Reference Request Form</w:t>
      </w:r>
    </w:p>
    <w:p w14:paraId="1B0FFE9E" w14:textId="77777777" w:rsidR="005F031C" w:rsidRPr="002F7A57" w:rsidRDefault="00993AC4" w:rsidP="0060008A">
      <w:pPr>
        <w:pBdr>
          <w:bottom w:val="single" w:sz="4" w:space="1" w:color="auto"/>
        </w:pBdr>
        <w:rPr>
          <w:lang w:val="en-CA"/>
        </w:rPr>
      </w:pPr>
      <w:r w:rsidRPr="002F7A57">
        <w:rPr>
          <w:b/>
          <w:lang w:val="en-CA"/>
        </w:rPr>
        <w:t>RELATED PO</w:t>
      </w:r>
      <w:r w:rsidR="002F7A57">
        <w:rPr>
          <w:b/>
          <w:lang w:val="en-CA"/>
        </w:rPr>
        <w:t>LICIES/</w:t>
      </w:r>
      <w:r w:rsidRPr="002F7A57">
        <w:rPr>
          <w:b/>
          <w:lang w:val="en-CA"/>
        </w:rPr>
        <w:t>ASSOCIATED GUIDELINES:</w:t>
      </w:r>
      <w:r w:rsidR="000F65D8">
        <w:rPr>
          <w:b/>
          <w:lang w:val="en-CA"/>
        </w:rPr>
        <w:t xml:space="preserve"> </w:t>
      </w:r>
    </w:p>
    <w:p w14:paraId="7C20C28D" w14:textId="77777777" w:rsidR="008D64D4" w:rsidRPr="008D64D4" w:rsidRDefault="008D64D4" w:rsidP="008D64D4">
      <w:pPr>
        <w:spacing w:after="0"/>
        <w:ind w:left="1134"/>
        <w:rPr>
          <w:i/>
          <w:lang w:val="en-CA"/>
        </w:rPr>
      </w:pPr>
    </w:p>
    <w:p w14:paraId="784E8690" w14:textId="20B29D44" w:rsidR="00C059F5" w:rsidRPr="008D64D4" w:rsidRDefault="2B2EAEBB" w:rsidP="00C357E6">
      <w:pPr>
        <w:pBdr>
          <w:bottom w:val="single" w:sz="4" w:space="1" w:color="auto"/>
        </w:pBdr>
        <w:rPr>
          <w:lang w:val="en-CA"/>
        </w:rPr>
      </w:pPr>
      <w:r w:rsidRPr="2B2EAEBB">
        <w:rPr>
          <w:b/>
          <w:bCs/>
          <w:lang w:val="en-CA"/>
        </w:rPr>
        <w:t>REFERENCES:</w:t>
      </w:r>
      <w:r w:rsidRPr="2B2EAEBB">
        <w:rPr>
          <w:lang w:val="en-CA"/>
        </w:rPr>
        <w:t xml:space="preserve">  </w:t>
      </w:r>
    </w:p>
    <w:p w14:paraId="07BB8D5E" w14:textId="77777777" w:rsidR="002F7A57" w:rsidRPr="008D64D4" w:rsidRDefault="000F65D8" w:rsidP="002F7A57">
      <w:pPr>
        <w:rPr>
          <w:b/>
          <w:i/>
          <w:sz w:val="18"/>
          <w:szCs w:val="18"/>
          <w:lang w:val="en-CA"/>
        </w:rPr>
      </w:pPr>
      <w:r w:rsidRPr="008D64D4">
        <w:rPr>
          <w:b/>
          <w:i/>
          <w:sz w:val="18"/>
          <w:szCs w:val="18"/>
          <w:lang w:val="en-CA"/>
        </w:rPr>
        <w:t xml:space="preserve">NOTE: NESA </w:t>
      </w:r>
      <w:r w:rsidR="006D46B6" w:rsidRPr="008D64D4">
        <w:rPr>
          <w:b/>
          <w:i/>
          <w:sz w:val="18"/>
          <w:szCs w:val="18"/>
          <w:lang w:val="en-CA"/>
        </w:rPr>
        <w:t xml:space="preserve">Guidelines </w:t>
      </w:r>
      <w:r w:rsidR="00D546C2" w:rsidRPr="008D64D4">
        <w:rPr>
          <w:b/>
          <w:i/>
          <w:sz w:val="18"/>
          <w:szCs w:val="18"/>
          <w:lang w:val="en-CA"/>
        </w:rPr>
        <w:t xml:space="preserve">exist within </w:t>
      </w:r>
      <w:r w:rsidR="004F0AB8" w:rsidRPr="008D64D4">
        <w:rPr>
          <w:b/>
          <w:i/>
          <w:sz w:val="18"/>
          <w:szCs w:val="18"/>
          <w:lang w:val="en-CA"/>
        </w:rPr>
        <w:t>organizational framework</w:t>
      </w:r>
      <w:r w:rsidR="00D546C2" w:rsidRPr="008D64D4">
        <w:rPr>
          <w:b/>
          <w:i/>
          <w:sz w:val="18"/>
          <w:szCs w:val="18"/>
          <w:lang w:val="en-CA"/>
        </w:rPr>
        <w:t>s</w:t>
      </w:r>
      <w:r w:rsidR="004F0AB8" w:rsidRPr="008D64D4">
        <w:rPr>
          <w:b/>
          <w:i/>
          <w:sz w:val="18"/>
          <w:szCs w:val="18"/>
          <w:lang w:val="en-CA"/>
        </w:rPr>
        <w:t xml:space="preserve"> of policy for Lethbridge College and the University of Lethbridge</w:t>
      </w:r>
      <w:r w:rsidR="00C357E6" w:rsidRPr="008D64D4">
        <w:rPr>
          <w:b/>
          <w:i/>
          <w:sz w:val="18"/>
          <w:szCs w:val="18"/>
          <w:lang w:val="en-CA"/>
        </w:rPr>
        <w:t>, and</w:t>
      </w:r>
      <w:r w:rsidR="004F0AB8" w:rsidRPr="008D64D4">
        <w:rPr>
          <w:b/>
          <w:i/>
          <w:sz w:val="18"/>
          <w:szCs w:val="18"/>
          <w:lang w:val="en-CA"/>
        </w:rPr>
        <w:t xml:space="preserve"> within agreements established with practice partner organizations. </w:t>
      </w:r>
      <w:proofErr w:type="gramStart"/>
      <w:r w:rsidR="00C357E6" w:rsidRPr="008D64D4">
        <w:rPr>
          <w:b/>
          <w:i/>
          <w:sz w:val="18"/>
          <w:szCs w:val="18"/>
          <w:lang w:val="en-CA"/>
        </w:rPr>
        <w:t>If and when</w:t>
      </w:r>
      <w:proofErr w:type="gramEnd"/>
      <w:r w:rsidR="004F0AB8" w:rsidRPr="008D64D4">
        <w:rPr>
          <w:b/>
          <w:i/>
          <w:sz w:val="18"/>
          <w:szCs w:val="18"/>
          <w:lang w:val="en-CA"/>
        </w:rPr>
        <w:t xml:space="preserve"> NESA </w:t>
      </w:r>
      <w:r w:rsidR="006D46B6" w:rsidRPr="008D64D4">
        <w:rPr>
          <w:b/>
          <w:i/>
          <w:sz w:val="18"/>
          <w:szCs w:val="18"/>
          <w:lang w:val="en-CA"/>
        </w:rPr>
        <w:t>guidelines</w:t>
      </w:r>
      <w:r w:rsidR="004F0AB8" w:rsidRPr="008D64D4">
        <w:rPr>
          <w:b/>
          <w:i/>
          <w:sz w:val="18"/>
          <w:szCs w:val="18"/>
          <w:lang w:val="en-CA"/>
        </w:rPr>
        <w:t xml:space="preserve"> are found to differ from such policies and agreements,</w:t>
      </w:r>
      <w:r w:rsidR="00C357E6" w:rsidRPr="008D64D4">
        <w:rPr>
          <w:b/>
          <w:i/>
          <w:sz w:val="18"/>
          <w:szCs w:val="18"/>
          <w:lang w:val="en-CA"/>
        </w:rPr>
        <w:t xml:space="preserve"> it is important to note that</w:t>
      </w:r>
      <w:r w:rsidR="004F0AB8" w:rsidRPr="008D64D4">
        <w:rPr>
          <w:b/>
          <w:i/>
          <w:sz w:val="18"/>
          <w:szCs w:val="18"/>
          <w:lang w:val="en-CA"/>
        </w:rPr>
        <w:t xml:space="preserve"> </w:t>
      </w:r>
      <w:r w:rsidR="00C357E6" w:rsidRPr="008D64D4">
        <w:rPr>
          <w:b/>
          <w:i/>
          <w:sz w:val="18"/>
          <w:szCs w:val="18"/>
          <w:lang w:val="en-CA"/>
        </w:rPr>
        <w:t>such policies/agreements will take precedence over NESA</w:t>
      </w:r>
      <w:r w:rsidR="006D46B6" w:rsidRPr="008D64D4">
        <w:rPr>
          <w:b/>
          <w:i/>
          <w:sz w:val="18"/>
          <w:szCs w:val="18"/>
          <w:lang w:val="en-CA"/>
        </w:rPr>
        <w:t xml:space="preserve"> guidelines or policies</w:t>
      </w:r>
      <w:r w:rsidR="00C357E6" w:rsidRPr="008D64D4">
        <w:rPr>
          <w:b/>
          <w:i/>
          <w:sz w:val="18"/>
          <w:szCs w:val="18"/>
          <w:lang w:val="en-CA"/>
        </w:rPr>
        <w:t>.</w:t>
      </w:r>
    </w:p>
    <w:p w14:paraId="0245ED36" w14:textId="77777777" w:rsidR="002F7A57" w:rsidRDefault="002F7A57" w:rsidP="002F7A57">
      <w:pPr>
        <w:rPr>
          <w:i/>
          <w:color w:val="FF0000"/>
          <w:sz w:val="16"/>
          <w:szCs w:val="16"/>
          <w:lang w:val="en-CA"/>
        </w:rPr>
      </w:pPr>
    </w:p>
    <w:p w14:paraId="302A08E3" w14:textId="77777777" w:rsidR="002F7A57" w:rsidRPr="002F7A57" w:rsidRDefault="002F7A57" w:rsidP="002F7A57">
      <w:pPr>
        <w:rPr>
          <w:i/>
          <w:color w:val="FF0000"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4676"/>
        <w:gridCol w:w="4674"/>
      </w:tblGrid>
      <w:tr w:rsidR="00492D13" w14:paraId="34CDCD37" w14:textId="77777777" w:rsidTr="2AEA9EA2">
        <w:tc>
          <w:tcPr>
            <w:tcW w:w="4676" w:type="dxa"/>
          </w:tcPr>
          <w:p w14:paraId="662F0E76" w14:textId="77777777" w:rsidR="00492D13" w:rsidRPr="00AD2783" w:rsidRDefault="00AD2783" w:rsidP="007C1AA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Revised By/d</w:t>
            </w:r>
            <w:r w:rsidR="006F5E3D" w:rsidRPr="006F5E3D">
              <w:rPr>
                <w:b/>
                <w:lang w:val="en-CA"/>
              </w:rPr>
              <w:t>ate</w:t>
            </w:r>
            <w:r w:rsidR="00492D13" w:rsidRPr="006F5E3D">
              <w:rPr>
                <w:b/>
                <w:lang w:val="en-CA"/>
              </w:rPr>
              <w:t>:</w:t>
            </w:r>
          </w:p>
        </w:tc>
        <w:tc>
          <w:tcPr>
            <w:tcW w:w="4674" w:type="dxa"/>
          </w:tcPr>
          <w:p w14:paraId="13DF1F7B" w14:textId="77777777" w:rsidR="00492D13" w:rsidRDefault="006F5E3D" w:rsidP="006F5E3D">
            <w:pPr>
              <w:rPr>
                <w:lang w:val="en-CA"/>
              </w:rPr>
            </w:pPr>
            <w:r>
              <w:rPr>
                <w:b/>
                <w:lang w:val="en-CA"/>
              </w:rPr>
              <w:t>Approved by/date</w:t>
            </w:r>
            <w:r w:rsidR="00AD2783">
              <w:rPr>
                <w:b/>
                <w:lang w:val="en-CA"/>
              </w:rPr>
              <w:t>:</w:t>
            </w:r>
          </w:p>
        </w:tc>
      </w:tr>
      <w:tr w:rsidR="00AD2783" w14:paraId="7CB518DF" w14:textId="77777777" w:rsidTr="2AEA9EA2">
        <w:tc>
          <w:tcPr>
            <w:tcW w:w="4676" w:type="dxa"/>
          </w:tcPr>
          <w:p w14:paraId="3A0CFA88" w14:textId="41185A7E" w:rsidR="00AD2783" w:rsidRPr="007458DD" w:rsidRDefault="007458DD" w:rsidP="006879B1">
            <w:pPr>
              <w:rPr>
                <w:lang w:val="en-CA"/>
              </w:rPr>
            </w:pPr>
            <w:r>
              <w:rPr>
                <w:lang w:val="en-CA"/>
              </w:rPr>
              <w:t xml:space="preserve">Policy Review Committee: </w:t>
            </w:r>
            <w:r w:rsidR="006879B1">
              <w:rPr>
                <w:lang w:val="en-CA"/>
              </w:rPr>
              <w:t>February 2014</w:t>
            </w:r>
          </w:p>
        </w:tc>
        <w:tc>
          <w:tcPr>
            <w:tcW w:w="4674" w:type="dxa"/>
          </w:tcPr>
          <w:p w14:paraId="132FBDCE" w14:textId="02135827" w:rsidR="00AD2783" w:rsidRPr="007458DD" w:rsidRDefault="007458DD" w:rsidP="00636D91">
            <w:pPr>
              <w:rPr>
                <w:lang w:val="en-CA"/>
              </w:rPr>
            </w:pPr>
            <w:r>
              <w:rPr>
                <w:lang w:val="en-CA"/>
              </w:rPr>
              <w:t xml:space="preserve">NESA Joint </w:t>
            </w:r>
            <w:r w:rsidR="00AB5259">
              <w:rPr>
                <w:lang w:val="en-CA"/>
              </w:rPr>
              <w:t>Faculty Council</w:t>
            </w:r>
            <w:r>
              <w:rPr>
                <w:lang w:val="en-CA"/>
              </w:rPr>
              <w:t xml:space="preserve">: </w:t>
            </w:r>
            <w:r w:rsidR="00636D91">
              <w:rPr>
                <w:lang w:val="en-CA"/>
              </w:rPr>
              <w:t>May 12, 2015</w:t>
            </w:r>
          </w:p>
        </w:tc>
      </w:tr>
      <w:tr w:rsidR="2B2EAEBB" w14:paraId="44602ED3" w14:textId="77777777" w:rsidTr="2AEA9EA2">
        <w:tc>
          <w:tcPr>
            <w:tcW w:w="4676" w:type="dxa"/>
          </w:tcPr>
          <w:p w14:paraId="4B835597" w14:textId="5E546C69" w:rsidR="2B2EAEBB" w:rsidRDefault="2B2EAEBB" w:rsidP="2B2EAEBB">
            <w:r w:rsidRPr="2B2EAEBB">
              <w:rPr>
                <w:lang w:val="en-CA"/>
              </w:rPr>
              <w:t>Policy Review Committee: April 2016</w:t>
            </w:r>
          </w:p>
        </w:tc>
        <w:tc>
          <w:tcPr>
            <w:tcW w:w="4674" w:type="dxa"/>
          </w:tcPr>
          <w:p w14:paraId="7A86ADD2" w14:textId="2685BCCA" w:rsidR="2B2EAEBB" w:rsidRDefault="2B2EAEBB" w:rsidP="2B2EAEBB">
            <w:r w:rsidRPr="2B2EAEBB">
              <w:rPr>
                <w:lang w:val="en-CA"/>
              </w:rPr>
              <w:t>Not Required: no change</w:t>
            </w:r>
          </w:p>
        </w:tc>
      </w:tr>
      <w:tr w:rsidR="2AEA9EA2" w14:paraId="36F6E67A" w14:textId="77777777" w:rsidTr="00A81DA1">
        <w:trPr>
          <w:trHeight w:val="335"/>
        </w:trPr>
        <w:tc>
          <w:tcPr>
            <w:tcW w:w="4676" w:type="dxa"/>
          </w:tcPr>
          <w:p w14:paraId="3A4666FB" w14:textId="67CFF3C6" w:rsidR="2AEA9EA2" w:rsidRDefault="2AEA9EA2" w:rsidP="2AEA9EA2">
            <w:pPr>
              <w:spacing w:after="200" w:line="276" w:lineRule="auto"/>
              <w:rPr>
                <w:lang w:val="en-CA"/>
              </w:rPr>
            </w:pPr>
            <w:r w:rsidRPr="2AEA9EA2">
              <w:rPr>
                <w:lang w:val="en-CA"/>
              </w:rPr>
              <w:t>Policy Review Committee: April 2017</w:t>
            </w:r>
          </w:p>
        </w:tc>
        <w:tc>
          <w:tcPr>
            <w:tcW w:w="4674" w:type="dxa"/>
          </w:tcPr>
          <w:p w14:paraId="456B3B25" w14:textId="3B29891D" w:rsidR="2AEA9EA2" w:rsidRDefault="2AEA9EA2" w:rsidP="2AEA9EA2">
            <w:pPr>
              <w:rPr>
                <w:lang w:val="en-CA"/>
              </w:rPr>
            </w:pPr>
            <w:r w:rsidRPr="2AEA9EA2">
              <w:rPr>
                <w:lang w:val="en-CA"/>
              </w:rPr>
              <w:t>Not Required: no change</w:t>
            </w:r>
          </w:p>
        </w:tc>
      </w:tr>
      <w:tr w:rsidR="00102648" w14:paraId="22053E99" w14:textId="77777777" w:rsidTr="2AEA9EA2">
        <w:tc>
          <w:tcPr>
            <w:tcW w:w="4676" w:type="dxa"/>
          </w:tcPr>
          <w:p w14:paraId="056BC2BE" w14:textId="19B93A58" w:rsidR="00102648" w:rsidRPr="2AEA9EA2" w:rsidRDefault="00102648" w:rsidP="00102648">
            <w:pPr>
              <w:rPr>
                <w:lang w:val="en-CA"/>
              </w:rPr>
            </w:pPr>
            <w:r>
              <w:rPr>
                <w:lang w:val="en-CA"/>
              </w:rPr>
              <w:t>Policy Review Committee: December 2018</w:t>
            </w:r>
          </w:p>
        </w:tc>
        <w:tc>
          <w:tcPr>
            <w:tcW w:w="4674" w:type="dxa"/>
          </w:tcPr>
          <w:p w14:paraId="121A9CFD" w14:textId="2D9EFB4C" w:rsidR="00102648" w:rsidRPr="2AEA9EA2" w:rsidRDefault="00102648" w:rsidP="2AEA9EA2">
            <w:pPr>
              <w:rPr>
                <w:lang w:val="en-CA"/>
              </w:rPr>
            </w:pPr>
            <w:r>
              <w:rPr>
                <w:lang w:val="en-CA"/>
              </w:rPr>
              <w:t>Not Required: no change</w:t>
            </w:r>
          </w:p>
        </w:tc>
      </w:tr>
      <w:tr w:rsidR="00CF4159" w14:paraId="6A7C121E" w14:textId="77777777" w:rsidTr="2AEA9EA2">
        <w:tc>
          <w:tcPr>
            <w:tcW w:w="4676" w:type="dxa"/>
          </w:tcPr>
          <w:p w14:paraId="01A353AA" w14:textId="1238A7FC" w:rsidR="00CF4159" w:rsidRDefault="00CF4159" w:rsidP="00CF4159">
            <w:pPr>
              <w:rPr>
                <w:lang w:val="en-CA"/>
              </w:rPr>
            </w:pPr>
            <w:r>
              <w:rPr>
                <w:lang w:val="en-CA"/>
              </w:rPr>
              <w:t>Policy Review Committee: January 2019</w:t>
            </w:r>
          </w:p>
        </w:tc>
        <w:tc>
          <w:tcPr>
            <w:tcW w:w="4674" w:type="dxa"/>
          </w:tcPr>
          <w:p w14:paraId="71CD4279" w14:textId="2FC7E7E5" w:rsidR="00CF4159" w:rsidRDefault="00CF4159" w:rsidP="2AEA9EA2">
            <w:pPr>
              <w:rPr>
                <w:lang w:val="en-CA"/>
              </w:rPr>
            </w:pPr>
            <w:r>
              <w:rPr>
                <w:lang w:val="en-CA"/>
              </w:rPr>
              <w:t xml:space="preserve">Not Required: editorial </w:t>
            </w:r>
            <w:r w:rsidR="00A81DA1">
              <w:rPr>
                <w:lang w:val="en-CA"/>
              </w:rPr>
              <w:t>change</w:t>
            </w:r>
            <w:r w:rsidR="00CC7F7E">
              <w:rPr>
                <w:lang w:val="en-CA"/>
              </w:rPr>
              <w:t>s</w:t>
            </w:r>
          </w:p>
        </w:tc>
      </w:tr>
      <w:tr w:rsidR="00435F62" w14:paraId="3034562E" w14:textId="77777777" w:rsidTr="2AEA9EA2">
        <w:tc>
          <w:tcPr>
            <w:tcW w:w="4676" w:type="dxa"/>
          </w:tcPr>
          <w:p w14:paraId="181BA313" w14:textId="1C0F9BEE" w:rsidR="00435F62" w:rsidRPr="00A81DA1" w:rsidRDefault="00435F62" w:rsidP="00CF4159">
            <w:pPr>
              <w:rPr>
                <w:lang w:val="en-CA"/>
              </w:rPr>
            </w:pPr>
            <w:r w:rsidRPr="00A81DA1">
              <w:rPr>
                <w:lang w:val="en-CA"/>
              </w:rPr>
              <w:t xml:space="preserve">Policy Review Committee: </w:t>
            </w:r>
            <w:r w:rsidR="00A81DA1">
              <w:rPr>
                <w:lang w:val="en-CA"/>
              </w:rPr>
              <w:t>April</w:t>
            </w:r>
            <w:r w:rsidRPr="00A81DA1">
              <w:rPr>
                <w:lang w:val="en-CA"/>
              </w:rPr>
              <w:t xml:space="preserve"> 2020</w:t>
            </w:r>
          </w:p>
        </w:tc>
        <w:tc>
          <w:tcPr>
            <w:tcW w:w="4674" w:type="dxa"/>
          </w:tcPr>
          <w:p w14:paraId="774BC0E7" w14:textId="3EB23B74" w:rsidR="00435F62" w:rsidRDefault="00435F62" w:rsidP="2AEA9EA2">
            <w:pPr>
              <w:rPr>
                <w:lang w:val="en-CA"/>
              </w:rPr>
            </w:pPr>
            <w:r w:rsidRPr="00A81DA1">
              <w:rPr>
                <w:lang w:val="en-CA"/>
              </w:rPr>
              <w:t>Not Required: no change</w:t>
            </w:r>
          </w:p>
        </w:tc>
      </w:tr>
      <w:tr w:rsidR="00C75962" w14:paraId="7061FE8E" w14:textId="77777777" w:rsidTr="2AEA9EA2">
        <w:tc>
          <w:tcPr>
            <w:tcW w:w="4676" w:type="dxa"/>
          </w:tcPr>
          <w:p w14:paraId="06C3451E" w14:textId="62F77240" w:rsidR="00C75962" w:rsidRPr="00023F40" w:rsidRDefault="00C75962" w:rsidP="00CF4159">
            <w:pPr>
              <w:rPr>
                <w:lang w:val="en-CA"/>
              </w:rPr>
            </w:pPr>
            <w:r w:rsidRPr="00023F40">
              <w:rPr>
                <w:lang w:val="en-CA"/>
              </w:rPr>
              <w:t>Policy Review Committee</w:t>
            </w:r>
            <w:r w:rsidR="00023F40">
              <w:rPr>
                <w:lang w:val="en-CA"/>
              </w:rPr>
              <w:t>: March 2021</w:t>
            </w:r>
          </w:p>
        </w:tc>
        <w:tc>
          <w:tcPr>
            <w:tcW w:w="4674" w:type="dxa"/>
          </w:tcPr>
          <w:p w14:paraId="0C3F385D" w14:textId="0E054A0F" w:rsidR="00C75962" w:rsidRPr="00023F40" w:rsidRDefault="00C75962" w:rsidP="2AEA9EA2">
            <w:pPr>
              <w:rPr>
                <w:lang w:val="en-CA"/>
              </w:rPr>
            </w:pPr>
            <w:r w:rsidRPr="00023F40">
              <w:rPr>
                <w:lang w:val="en-CA"/>
              </w:rPr>
              <w:t>Not Required: no change</w:t>
            </w:r>
          </w:p>
        </w:tc>
      </w:tr>
    </w:tbl>
    <w:p w14:paraId="59E51C42" w14:textId="05BC8DF7" w:rsidR="00FA5EC6" w:rsidRDefault="00FA5EC6" w:rsidP="00FA5EC6">
      <w:pPr>
        <w:rPr>
          <w:lang w:val="en-CA"/>
        </w:rPr>
      </w:pPr>
    </w:p>
    <w:p w14:paraId="14923DFD" w14:textId="77777777" w:rsidR="00DE50D6" w:rsidRDefault="00DE50D6" w:rsidP="00FA5EC6">
      <w:pPr>
        <w:rPr>
          <w:lang w:val="en-CA"/>
        </w:rPr>
      </w:pPr>
    </w:p>
    <w:p w14:paraId="109A4AA1" w14:textId="77777777" w:rsidR="00DE50D6" w:rsidRDefault="00DE50D6" w:rsidP="00FA5EC6">
      <w:pPr>
        <w:rPr>
          <w:lang w:val="en-CA"/>
        </w:rPr>
      </w:pPr>
    </w:p>
    <w:p w14:paraId="31A07A0A" w14:textId="77777777" w:rsidR="00DE50D6" w:rsidRDefault="00DE50D6" w:rsidP="00FA5EC6">
      <w:pPr>
        <w:rPr>
          <w:lang w:val="en-CA"/>
        </w:rPr>
      </w:pPr>
    </w:p>
    <w:p w14:paraId="03BF3C7B" w14:textId="77777777" w:rsidR="00DE50D6" w:rsidRDefault="00DE50D6" w:rsidP="00FA5EC6">
      <w:pPr>
        <w:rPr>
          <w:lang w:val="en-CA"/>
        </w:rPr>
      </w:pPr>
    </w:p>
    <w:p w14:paraId="55D01E14" w14:textId="77777777" w:rsidR="00DE50D6" w:rsidRDefault="00DE50D6" w:rsidP="00FA5EC6">
      <w:pPr>
        <w:rPr>
          <w:lang w:val="en-CA"/>
        </w:rPr>
      </w:pPr>
    </w:p>
    <w:p w14:paraId="656EE330" w14:textId="77777777" w:rsidR="00DE50D6" w:rsidRDefault="00DE50D6" w:rsidP="00FA5EC6">
      <w:pPr>
        <w:rPr>
          <w:lang w:val="en-CA"/>
        </w:rPr>
      </w:pPr>
    </w:p>
    <w:p w14:paraId="04EA0819" w14:textId="77777777" w:rsidR="00DE50D6" w:rsidRDefault="00DE50D6" w:rsidP="00FA5EC6">
      <w:pPr>
        <w:rPr>
          <w:lang w:val="en-CA"/>
        </w:rPr>
      </w:pPr>
    </w:p>
    <w:p w14:paraId="35C1081D" w14:textId="77777777" w:rsidR="00DE50D6" w:rsidRDefault="00DE50D6" w:rsidP="00FA5EC6">
      <w:pPr>
        <w:rPr>
          <w:lang w:val="en-CA"/>
        </w:rPr>
      </w:pPr>
    </w:p>
    <w:p w14:paraId="740A252E" w14:textId="77777777" w:rsidR="00DE50D6" w:rsidRDefault="00DE50D6" w:rsidP="00DE50D6">
      <w:pPr>
        <w:rPr>
          <w:lang w:val="en-CA"/>
        </w:rPr>
      </w:pPr>
    </w:p>
    <w:p w14:paraId="6F04CEBA" w14:textId="77777777" w:rsidR="00DE50D6" w:rsidRDefault="00DE50D6" w:rsidP="000959E1">
      <w:pPr>
        <w:pStyle w:val="Default"/>
      </w:pPr>
    </w:p>
    <w:p w14:paraId="71400BCD" w14:textId="77777777" w:rsidR="00DE50D6" w:rsidRPr="00FA5EC6" w:rsidRDefault="00DE50D6" w:rsidP="00B501B4">
      <w:pPr>
        <w:tabs>
          <w:tab w:val="left" w:pos="9180"/>
        </w:tabs>
        <w:spacing w:line="480" w:lineRule="auto"/>
        <w:rPr>
          <w:lang w:val="en-CA"/>
        </w:rPr>
      </w:pPr>
    </w:p>
    <w:sectPr w:rsidR="00DE50D6" w:rsidRPr="00FA5EC6" w:rsidSect="00101B3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BC65" w14:textId="77777777" w:rsidR="000950FA" w:rsidRDefault="000950FA" w:rsidP="00BC28E4">
      <w:pPr>
        <w:spacing w:after="0" w:line="240" w:lineRule="auto"/>
      </w:pPr>
      <w:r>
        <w:separator/>
      </w:r>
    </w:p>
  </w:endnote>
  <w:endnote w:type="continuationSeparator" w:id="0">
    <w:p w14:paraId="30A71CD5" w14:textId="77777777" w:rsidR="000950FA" w:rsidRDefault="000950FA" w:rsidP="00B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6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F048D" w14:textId="3268C9B6" w:rsidR="00993487" w:rsidRDefault="00993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1AFA8" w14:textId="77777777" w:rsidR="00993487" w:rsidRDefault="0099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D304" w14:textId="77777777" w:rsidR="000950FA" w:rsidRDefault="000950FA" w:rsidP="00BC28E4">
      <w:pPr>
        <w:spacing w:after="0" w:line="240" w:lineRule="auto"/>
      </w:pPr>
      <w:r>
        <w:separator/>
      </w:r>
    </w:p>
  </w:footnote>
  <w:footnote w:type="continuationSeparator" w:id="0">
    <w:p w14:paraId="4ADC7EE8" w14:textId="77777777" w:rsidR="000950FA" w:rsidRDefault="000950FA" w:rsidP="00BC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BD5F" w14:textId="77777777" w:rsidR="00BC28E4" w:rsidRDefault="00BC28E4">
    <w:pPr>
      <w:pStyle w:val="Header"/>
    </w:pPr>
  </w:p>
  <w:p w14:paraId="34E1CA3B" w14:textId="77777777" w:rsidR="00BC28E4" w:rsidRPr="00BC28E4" w:rsidRDefault="00BC28E4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74F"/>
    <w:multiLevelType w:val="hybridMultilevel"/>
    <w:tmpl w:val="ED02ED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500DCF4">
      <w:start w:val="1"/>
      <w:numFmt w:val="lowerRoman"/>
      <w:lvlText w:val="%2."/>
      <w:lvlJc w:val="left"/>
      <w:pPr>
        <w:ind w:left="2520" w:hanging="360"/>
      </w:pPr>
      <w:rPr>
        <w:rFonts w:hint="default"/>
        <w:b w:val="0"/>
        <w:i w:val="0"/>
      </w:rPr>
    </w:lvl>
    <w:lvl w:ilvl="2" w:tplc="04090013">
      <w:start w:val="1"/>
      <w:numFmt w:val="upp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AE2166"/>
    <w:multiLevelType w:val="hybridMultilevel"/>
    <w:tmpl w:val="F63873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500DCF4">
      <w:start w:val="1"/>
      <w:numFmt w:val="lowerRoman"/>
      <w:lvlText w:val="%2."/>
      <w:lvlJc w:val="left"/>
      <w:pPr>
        <w:ind w:left="252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E81D8C"/>
    <w:multiLevelType w:val="hybridMultilevel"/>
    <w:tmpl w:val="6CD6CE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500DCF4">
      <w:start w:val="1"/>
      <w:numFmt w:val="lowerRoman"/>
      <w:lvlText w:val="%2."/>
      <w:lvlJc w:val="left"/>
      <w:pPr>
        <w:ind w:left="252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55BE9"/>
    <w:multiLevelType w:val="hybridMultilevel"/>
    <w:tmpl w:val="71BA48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B2941"/>
    <w:multiLevelType w:val="multilevel"/>
    <w:tmpl w:val="B1605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F5194"/>
    <w:multiLevelType w:val="hybridMultilevel"/>
    <w:tmpl w:val="CA50EAAC"/>
    <w:lvl w:ilvl="0" w:tplc="1F8C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3E87B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CCB"/>
    <w:multiLevelType w:val="hybridMultilevel"/>
    <w:tmpl w:val="517EBB44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7" w15:restartNumberingAfterBreak="0">
    <w:nsid w:val="3DA63B4A"/>
    <w:multiLevelType w:val="hybridMultilevel"/>
    <w:tmpl w:val="73BC8CF0"/>
    <w:lvl w:ilvl="0" w:tplc="10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C006816"/>
    <w:multiLevelType w:val="hybridMultilevel"/>
    <w:tmpl w:val="A40C0848"/>
    <w:lvl w:ilvl="0" w:tplc="1F8C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473E87B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1168"/>
    <w:multiLevelType w:val="hybridMultilevel"/>
    <w:tmpl w:val="D85020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DC3F7A"/>
    <w:multiLevelType w:val="hybridMultilevel"/>
    <w:tmpl w:val="FEACA98A"/>
    <w:lvl w:ilvl="0" w:tplc="1F8C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73E87B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17B41"/>
    <w:multiLevelType w:val="hybridMultilevel"/>
    <w:tmpl w:val="6366B1EC"/>
    <w:lvl w:ilvl="0" w:tplc="E500DCF4">
      <w:start w:val="1"/>
      <w:numFmt w:val="lowerRoman"/>
      <w:lvlText w:val="%1."/>
      <w:lvlJc w:val="left"/>
      <w:pPr>
        <w:ind w:left="206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2" w15:restartNumberingAfterBreak="0">
    <w:nsid w:val="7DC54DD3"/>
    <w:multiLevelType w:val="hybridMultilevel"/>
    <w:tmpl w:val="DB5C134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85"/>
    <w:rsid w:val="0002181C"/>
    <w:rsid w:val="00023F40"/>
    <w:rsid w:val="00056519"/>
    <w:rsid w:val="000950FA"/>
    <w:rsid w:val="000959E1"/>
    <w:rsid w:val="000C6769"/>
    <w:rsid w:val="000F65D8"/>
    <w:rsid w:val="00101B3A"/>
    <w:rsid w:val="00102648"/>
    <w:rsid w:val="00137AF1"/>
    <w:rsid w:val="001C43EB"/>
    <w:rsid w:val="002866C1"/>
    <w:rsid w:val="00292C54"/>
    <w:rsid w:val="002A6D18"/>
    <w:rsid w:val="002F7A57"/>
    <w:rsid w:val="00306645"/>
    <w:rsid w:val="00326F0B"/>
    <w:rsid w:val="00341F58"/>
    <w:rsid w:val="00342EE4"/>
    <w:rsid w:val="003E6D07"/>
    <w:rsid w:val="00407446"/>
    <w:rsid w:val="00435F62"/>
    <w:rsid w:val="00442B53"/>
    <w:rsid w:val="004467D5"/>
    <w:rsid w:val="00492D13"/>
    <w:rsid w:val="004F0AB8"/>
    <w:rsid w:val="004F40E5"/>
    <w:rsid w:val="00511526"/>
    <w:rsid w:val="005420F6"/>
    <w:rsid w:val="00563206"/>
    <w:rsid w:val="005660E9"/>
    <w:rsid w:val="005D303A"/>
    <w:rsid w:val="005D3D1B"/>
    <w:rsid w:val="005E7528"/>
    <w:rsid w:val="005F031C"/>
    <w:rsid w:val="0060008A"/>
    <w:rsid w:val="006115BA"/>
    <w:rsid w:val="00636D91"/>
    <w:rsid w:val="00662CA2"/>
    <w:rsid w:val="0066315A"/>
    <w:rsid w:val="00674F9F"/>
    <w:rsid w:val="006879B1"/>
    <w:rsid w:val="006D46B6"/>
    <w:rsid w:val="006F5E3D"/>
    <w:rsid w:val="007150B6"/>
    <w:rsid w:val="00715CBE"/>
    <w:rsid w:val="00721B5D"/>
    <w:rsid w:val="00725527"/>
    <w:rsid w:val="007458DD"/>
    <w:rsid w:val="00756911"/>
    <w:rsid w:val="00760EDC"/>
    <w:rsid w:val="007A4A0D"/>
    <w:rsid w:val="007C1AA4"/>
    <w:rsid w:val="007C4482"/>
    <w:rsid w:val="00822159"/>
    <w:rsid w:val="00833FB7"/>
    <w:rsid w:val="00894084"/>
    <w:rsid w:val="008968D3"/>
    <w:rsid w:val="008A4A96"/>
    <w:rsid w:val="008C3E59"/>
    <w:rsid w:val="008D5441"/>
    <w:rsid w:val="008D64D4"/>
    <w:rsid w:val="00923698"/>
    <w:rsid w:val="00931B7D"/>
    <w:rsid w:val="00963D43"/>
    <w:rsid w:val="00993487"/>
    <w:rsid w:val="00993AC4"/>
    <w:rsid w:val="009E7933"/>
    <w:rsid w:val="009F4395"/>
    <w:rsid w:val="009F6E6F"/>
    <w:rsid w:val="009F782D"/>
    <w:rsid w:val="00A25D1A"/>
    <w:rsid w:val="00A6027B"/>
    <w:rsid w:val="00A81DA1"/>
    <w:rsid w:val="00A82E5C"/>
    <w:rsid w:val="00A83606"/>
    <w:rsid w:val="00A97C17"/>
    <w:rsid w:val="00AB5259"/>
    <w:rsid w:val="00AD2783"/>
    <w:rsid w:val="00AE6E18"/>
    <w:rsid w:val="00AF1994"/>
    <w:rsid w:val="00AF4F15"/>
    <w:rsid w:val="00B02373"/>
    <w:rsid w:val="00B12B60"/>
    <w:rsid w:val="00B40984"/>
    <w:rsid w:val="00B501B4"/>
    <w:rsid w:val="00B55C8F"/>
    <w:rsid w:val="00B76361"/>
    <w:rsid w:val="00BB23AC"/>
    <w:rsid w:val="00BC28E4"/>
    <w:rsid w:val="00C059F5"/>
    <w:rsid w:val="00C13F1B"/>
    <w:rsid w:val="00C27104"/>
    <w:rsid w:val="00C357E6"/>
    <w:rsid w:val="00C75962"/>
    <w:rsid w:val="00C91C1D"/>
    <w:rsid w:val="00CC7F7E"/>
    <w:rsid w:val="00CF4159"/>
    <w:rsid w:val="00D132AD"/>
    <w:rsid w:val="00D24B91"/>
    <w:rsid w:val="00D371B3"/>
    <w:rsid w:val="00D546C2"/>
    <w:rsid w:val="00D571C4"/>
    <w:rsid w:val="00D75385"/>
    <w:rsid w:val="00D76737"/>
    <w:rsid w:val="00D8344B"/>
    <w:rsid w:val="00D84246"/>
    <w:rsid w:val="00DE50D6"/>
    <w:rsid w:val="00E02380"/>
    <w:rsid w:val="00E075BC"/>
    <w:rsid w:val="00E07EA7"/>
    <w:rsid w:val="00E24961"/>
    <w:rsid w:val="00E30E20"/>
    <w:rsid w:val="00EC20C5"/>
    <w:rsid w:val="00EF7490"/>
    <w:rsid w:val="00F50932"/>
    <w:rsid w:val="00F6254F"/>
    <w:rsid w:val="00F82807"/>
    <w:rsid w:val="00FA1A3C"/>
    <w:rsid w:val="00FA5EC6"/>
    <w:rsid w:val="00FA748C"/>
    <w:rsid w:val="2AEA9EA2"/>
    <w:rsid w:val="2B2EA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76AD"/>
  <w15:docId w15:val="{9B37FB2A-582B-4C54-85D1-929BDA8A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385"/>
    <w:pPr>
      <w:ind w:left="720"/>
      <w:contextualSpacing/>
    </w:pPr>
  </w:style>
  <w:style w:type="table" w:styleId="TableGrid">
    <w:name w:val="Table Grid"/>
    <w:basedOn w:val="TableNormal"/>
    <w:uiPriority w:val="59"/>
    <w:rsid w:val="0049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67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67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E4"/>
  </w:style>
  <w:style w:type="character" w:styleId="Hyperlink">
    <w:name w:val="Hyperlink"/>
    <w:basedOn w:val="DefaultParagraphFont"/>
    <w:uiPriority w:val="99"/>
    <w:unhideWhenUsed/>
    <w:rsid w:val="00542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0F6"/>
    <w:rPr>
      <w:color w:val="800080" w:themeColor="followedHyperlink"/>
      <w:u w:val="single"/>
    </w:rPr>
  </w:style>
  <w:style w:type="paragraph" w:customStyle="1" w:styleId="Default">
    <w:name w:val="Default"/>
    <w:rsid w:val="00DE5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31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Spenceley, Shannon</dc:creator>
  <cp:lastModifiedBy>Marthiensen, Bob</cp:lastModifiedBy>
  <cp:revision>3</cp:revision>
  <cp:lastPrinted>2014-04-29T22:13:00Z</cp:lastPrinted>
  <dcterms:created xsi:type="dcterms:W3CDTF">2021-06-14T22:11:00Z</dcterms:created>
  <dcterms:modified xsi:type="dcterms:W3CDTF">2021-06-16T16:17:00Z</dcterms:modified>
</cp:coreProperties>
</file>