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1322" w14:textId="77777777" w:rsidR="006F136E" w:rsidRDefault="00D60D3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Arial" w:eastAsia="Arial" w:hAnsi="Arial" w:cs="Arial"/>
          <w:b/>
          <w:noProof/>
          <w:color w:val="000000"/>
          <w:sz w:val="20"/>
          <w:szCs w:val="20"/>
        </w:rPr>
        <w:drawing>
          <wp:inline distT="0" distB="0" distL="0" distR="0" wp14:anchorId="71FB1372" wp14:editId="71FB1373">
            <wp:extent cx="2667000" cy="723900"/>
            <wp:effectExtent l="0" t="0" r="0" b="0"/>
            <wp:docPr id="2" name="image1.jpg" descr="NESA_BNPrograms"/>
            <wp:cNvGraphicFramePr/>
            <a:graphic xmlns:a="http://schemas.openxmlformats.org/drawingml/2006/main">
              <a:graphicData uri="http://schemas.openxmlformats.org/drawingml/2006/picture">
                <pic:pic xmlns:pic="http://schemas.openxmlformats.org/drawingml/2006/picture">
                  <pic:nvPicPr>
                    <pic:cNvPr id="0" name="image1.jpg" descr="NESA_BNPrograms"/>
                    <pic:cNvPicPr preferRelativeResize="0"/>
                  </pic:nvPicPr>
                  <pic:blipFill>
                    <a:blip r:embed="rId8"/>
                    <a:srcRect/>
                    <a:stretch>
                      <a:fillRect/>
                    </a:stretch>
                  </pic:blipFill>
                  <pic:spPr>
                    <a:xfrm>
                      <a:off x="0" y="0"/>
                      <a:ext cx="2667000" cy="723900"/>
                    </a:xfrm>
                    <a:prstGeom prst="rect">
                      <a:avLst/>
                    </a:prstGeom>
                    <a:ln/>
                  </pic:spPr>
                </pic:pic>
              </a:graphicData>
            </a:graphic>
          </wp:inline>
        </w:drawing>
      </w:r>
    </w:p>
    <w:p w14:paraId="71FB1323" w14:textId="77777777" w:rsidR="006F136E" w:rsidRDefault="00D60D3B">
      <w:pPr>
        <w:spacing w:before="240"/>
        <w:jc w:val="center"/>
        <w:rPr>
          <w:b/>
          <w:sz w:val="36"/>
          <w:szCs w:val="36"/>
        </w:rPr>
      </w:pPr>
      <w:bookmarkStart w:id="0" w:name="_heading=h.gjdgxs" w:colFirst="0" w:colLast="0"/>
      <w:bookmarkEnd w:id="0"/>
      <w:r>
        <w:rPr>
          <w:b/>
          <w:sz w:val="36"/>
          <w:szCs w:val="36"/>
        </w:rPr>
        <w:t>Guideline: Practice Instructor Uniform/Dress</w:t>
      </w:r>
    </w:p>
    <w:p w14:paraId="71FB1324" w14:textId="77777777" w:rsidR="006F136E" w:rsidRDefault="00D60D3B">
      <w:pPr>
        <w:pBdr>
          <w:bottom w:val="single" w:sz="4" w:space="1" w:color="000000"/>
        </w:pBdr>
        <w:rPr>
          <w:b/>
        </w:rPr>
      </w:pPr>
      <w:r>
        <w:rPr>
          <w:b/>
        </w:rPr>
        <w:t>PURPOSE:</w:t>
      </w:r>
    </w:p>
    <w:p w14:paraId="71FB1325" w14:textId="77777777" w:rsidR="006F136E" w:rsidRDefault="00D60D3B">
      <w:pPr>
        <w:pBdr>
          <w:top w:val="nil"/>
          <w:left w:val="nil"/>
          <w:bottom w:val="nil"/>
          <w:right w:val="nil"/>
          <w:between w:val="nil"/>
        </w:pBdr>
        <w:rPr>
          <w:b/>
          <w:color w:val="000000"/>
        </w:rPr>
      </w:pPr>
      <w:r>
        <w:rPr>
          <w:color w:val="000000"/>
        </w:rPr>
        <w:t>The purpose of this guideline is to outline expectations regarding practice instructor attire when engaged in activities associated with the NESA BN programs.</w:t>
      </w:r>
      <w:r>
        <w:rPr>
          <w:b/>
          <w:color w:val="000000"/>
        </w:rPr>
        <w:t xml:space="preserve"> </w:t>
      </w:r>
    </w:p>
    <w:p w14:paraId="71FB1326" w14:textId="77777777" w:rsidR="006F136E" w:rsidRDefault="00D60D3B">
      <w:pPr>
        <w:pBdr>
          <w:bottom w:val="single" w:sz="4" w:space="1" w:color="000000"/>
        </w:pBdr>
      </w:pPr>
      <w:r>
        <w:rPr>
          <w:b/>
        </w:rPr>
        <w:t>DEFINITIONS:</w:t>
      </w:r>
    </w:p>
    <w:p w14:paraId="71FB1327" w14:textId="57C13745" w:rsidR="006F136E" w:rsidRDefault="00D60D3B">
      <w:pPr>
        <w:spacing w:before="280" w:after="280" w:line="240" w:lineRule="auto"/>
      </w:pPr>
      <w:r>
        <w:rPr>
          <w:b/>
          <w:i/>
        </w:rPr>
        <w:t>Business Casual Attire</w:t>
      </w:r>
      <w:r>
        <w:t xml:space="preserve"> is defined as clothing that is crisp, neat, pressed and never wrinkled, to project a professional, business-like image. Torn, dirty, or frayed clothing is unacceptable. </w:t>
      </w:r>
      <w:r>
        <w:rPr>
          <w:rFonts w:ascii="Verdana" w:eastAsia="Verdana" w:hAnsi="Verdana" w:cs="Verdana"/>
          <w:color w:val="444444"/>
          <w:sz w:val="20"/>
          <w:szCs w:val="20"/>
        </w:rPr>
        <w:t>C</w:t>
      </w:r>
      <w:r>
        <w:t xml:space="preserve">lothing that has words, </w:t>
      </w:r>
      <w:r w:rsidRPr="00D9391E">
        <w:t>slogans</w:t>
      </w:r>
      <w:r>
        <w:t>, or pictures</w:t>
      </w:r>
      <w:r w:rsidR="00D35D20">
        <w:t>,</w:t>
      </w:r>
      <w:r>
        <w:t xml:space="preserve"> is unacceptable.  Clothing that reveals cleavage, </w:t>
      </w:r>
      <w:r w:rsidR="0032039C">
        <w:t xml:space="preserve">or the skin of </w:t>
      </w:r>
      <w:r>
        <w:t>your back, chest, feet, stomach</w:t>
      </w:r>
      <w:r w:rsidR="0032039C">
        <w:t>,</w:t>
      </w:r>
      <w:r>
        <w:t xml:space="preserve"> or </w:t>
      </w:r>
      <w:proofErr w:type="spellStart"/>
      <w:r>
        <w:t>under</w:t>
      </w:r>
      <w:r w:rsidR="0032039C">
        <w:t>garmets</w:t>
      </w:r>
      <w:proofErr w:type="spellEnd"/>
      <w:r>
        <w:t xml:space="preserve"> is not appropriate.  Further information and images may be accessed at </w:t>
      </w:r>
      <w:hyperlink r:id="rId9">
        <w:r>
          <w:rPr>
            <w:color w:val="000000"/>
            <w:u w:val="single"/>
          </w:rPr>
          <w:t>http://cpd.degroote.mcmaster.ca/student-services/mba-dress-code/business-casual-attire/</w:t>
        </w:r>
      </w:hyperlink>
    </w:p>
    <w:p w14:paraId="71FB1328" w14:textId="77777777" w:rsidR="006F136E" w:rsidRDefault="00D60D3B">
      <w:pPr>
        <w:pBdr>
          <w:bottom w:val="single" w:sz="4" w:space="1" w:color="000000"/>
        </w:pBdr>
        <w:rPr>
          <w:b/>
        </w:rPr>
      </w:pPr>
      <w:r>
        <w:rPr>
          <w:b/>
        </w:rPr>
        <w:t>GUIDELINE SCOPE*:</w:t>
      </w:r>
    </w:p>
    <w:p w14:paraId="71FB1329" w14:textId="795BB154" w:rsidR="006F136E" w:rsidRDefault="00D60D3B">
      <w:pPr>
        <w:pBdr>
          <w:top w:val="nil"/>
          <w:left w:val="nil"/>
          <w:bottom w:val="nil"/>
          <w:right w:val="nil"/>
          <w:between w:val="nil"/>
        </w:pBdr>
        <w:spacing w:after="0"/>
        <w:rPr>
          <w:color w:val="000000"/>
        </w:rPr>
      </w:pPr>
      <w:r>
        <w:rPr>
          <w:color w:val="000000"/>
        </w:rPr>
        <w:t xml:space="preserve">This guideline applies to all practice instructors engaged in activities associated with the NESA BN programs, while in </w:t>
      </w:r>
      <w:r w:rsidR="00C25F67">
        <w:rPr>
          <w:color w:val="000000"/>
        </w:rPr>
        <w:t xml:space="preserve">any clinical placement </w:t>
      </w:r>
      <w:r>
        <w:rPr>
          <w:color w:val="000000"/>
        </w:rPr>
        <w:t>settings, such as:</w:t>
      </w:r>
    </w:p>
    <w:p w14:paraId="71FB132A" w14:textId="57EE4F61" w:rsidR="006F136E" w:rsidRDefault="00D60D3B">
      <w:pPr>
        <w:pBdr>
          <w:top w:val="nil"/>
          <w:left w:val="nil"/>
          <w:bottom w:val="nil"/>
          <w:right w:val="nil"/>
          <w:between w:val="nil"/>
        </w:pBdr>
        <w:spacing w:after="0"/>
        <w:rPr>
          <w:color w:val="000000"/>
        </w:rPr>
      </w:pPr>
      <w:r>
        <w:rPr>
          <w:color w:val="000000"/>
        </w:rPr>
        <w:tab/>
        <w:t>a.  Attendance at practice placements</w:t>
      </w:r>
      <w:r w:rsidR="00BF649A">
        <w:rPr>
          <w:color w:val="000000"/>
        </w:rPr>
        <w:t>;</w:t>
      </w:r>
    </w:p>
    <w:p w14:paraId="4D1B8690" w14:textId="2D0320B8" w:rsidR="005153ED" w:rsidRDefault="00D60D3B">
      <w:pPr>
        <w:pBdr>
          <w:top w:val="nil"/>
          <w:left w:val="nil"/>
          <w:bottom w:val="nil"/>
          <w:right w:val="nil"/>
          <w:between w:val="nil"/>
        </w:pBdr>
        <w:spacing w:after="0"/>
        <w:ind w:left="720"/>
        <w:rPr>
          <w:color w:val="000000"/>
        </w:rPr>
      </w:pPr>
      <w:r>
        <w:rPr>
          <w:color w:val="000000"/>
        </w:rPr>
        <w:t xml:space="preserve">b.  Attendance at practice sites to </w:t>
      </w:r>
      <w:r w:rsidR="001D4130">
        <w:rPr>
          <w:color w:val="000000"/>
        </w:rPr>
        <w:t>prepare</w:t>
      </w:r>
      <w:r>
        <w:rPr>
          <w:color w:val="000000"/>
        </w:rPr>
        <w:t xml:space="preserve"> patient assignments</w:t>
      </w:r>
      <w:r w:rsidR="00BF649A">
        <w:rPr>
          <w:color w:val="000000"/>
        </w:rPr>
        <w:t>;</w:t>
      </w:r>
    </w:p>
    <w:p w14:paraId="71FB132B" w14:textId="2FB3ECCD" w:rsidR="006F136E" w:rsidRDefault="005153ED">
      <w:pPr>
        <w:pBdr>
          <w:top w:val="nil"/>
          <w:left w:val="nil"/>
          <w:bottom w:val="nil"/>
          <w:right w:val="nil"/>
          <w:between w:val="nil"/>
        </w:pBdr>
        <w:spacing w:after="0"/>
        <w:ind w:left="720"/>
        <w:rPr>
          <w:color w:val="000000"/>
        </w:rPr>
      </w:pPr>
      <w:r>
        <w:rPr>
          <w:color w:val="000000"/>
        </w:rPr>
        <w:t xml:space="preserve">c.  Attendance at practice sites </w:t>
      </w:r>
      <w:r w:rsidR="00262100">
        <w:rPr>
          <w:color w:val="000000"/>
        </w:rPr>
        <w:t>or</w:t>
      </w:r>
      <w:r w:rsidR="00D60D3B">
        <w:rPr>
          <w:color w:val="000000"/>
        </w:rPr>
        <w:t xml:space="preserve"> any activity </w:t>
      </w:r>
      <w:r w:rsidR="00BF649A">
        <w:rPr>
          <w:color w:val="000000"/>
        </w:rPr>
        <w:t>that</w:t>
      </w:r>
      <w:r w:rsidR="00D60D3B">
        <w:rPr>
          <w:color w:val="000000"/>
        </w:rPr>
        <w:t xml:space="preserve"> the practice instructor represents the NESA BN programs</w:t>
      </w:r>
      <w:r w:rsidR="00BF649A">
        <w:rPr>
          <w:color w:val="000000"/>
        </w:rPr>
        <w:t>;</w:t>
      </w:r>
    </w:p>
    <w:p w14:paraId="71FB132C" w14:textId="4DAEE2F8" w:rsidR="006F136E" w:rsidRDefault="006F136E">
      <w:pPr>
        <w:pBdr>
          <w:top w:val="nil"/>
          <w:left w:val="nil"/>
          <w:bottom w:val="nil"/>
          <w:right w:val="nil"/>
          <w:between w:val="nil"/>
        </w:pBdr>
        <w:ind w:left="720"/>
        <w:rPr>
          <w:color w:val="000000"/>
        </w:rPr>
      </w:pPr>
    </w:p>
    <w:p w14:paraId="71FB132D" w14:textId="77777777" w:rsidR="006F136E" w:rsidRDefault="00D60D3B">
      <w:pPr>
        <w:pBdr>
          <w:bottom w:val="single" w:sz="4" w:space="1" w:color="000000"/>
        </w:pBdr>
        <w:rPr>
          <w:b/>
        </w:rPr>
      </w:pPr>
      <w:r>
        <w:rPr>
          <w:b/>
        </w:rPr>
        <w:t>GUIDELINE STATEMENT(S):</w:t>
      </w:r>
    </w:p>
    <w:p w14:paraId="71FB132E" w14:textId="2BF86090" w:rsidR="006F136E" w:rsidRDefault="00D60D3B">
      <w:pPr>
        <w:numPr>
          <w:ilvl w:val="1"/>
          <w:numId w:val="5"/>
        </w:numPr>
        <w:pBdr>
          <w:top w:val="nil"/>
          <w:left w:val="nil"/>
          <w:bottom w:val="nil"/>
          <w:right w:val="nil"/>
          <w:between w:val="nil"/>
        </w:pBdr>
        <w:spacing w:after="0"/>
        <w:ind w:left="851"/>
        <w:rPr>
          <w:color w:val="000000"/>
        </w:rPr>
      </w:pPr>
      <w:r>
        <w:rPr>
          <w:color w:val="000000"/>
        </w:rPr>
        <w:t>As an ambassador for the program, the institution, and the profession of nursing, instructors</w:t>
      </w:r>
      <w:r>
        <w:rPr>
          <w:color w:val="FF0000"/>
        </w:rPr>
        <w:t xml:space="preserve"> </w:t>
      </w:r>
      <w:r>
        <w:rPr>
          <w:color w:val="000000"/>
        </w:rPr>
        <w:t xml:space="preserve">are expected to convey a professional appearance and demeanour. </w:t>
      </w:r>
    </w:p>
    <w:p w14:paraId="3DBF266E" w14:textId="77777777" w:rsidR="00D9391E" w:rsidRPr="00D9391E" w:rsidRDefault="00D60D3B" w:rsidP="00D9391E">
      <w:pPr>
        <w:numPr>
          <w:ilvl w:val="1"/>
          <w:numId w:val="5"/>
        </w:numPr>
        <w:pBdr>
          <w:top w:val="nil"/>
          <w:left w:val="nil"/>
          <w:bottom w:val="nil"/>
          <w:right w:val="nil"/>
          <w:between w:val="nil"/>
        </w:pBdr>
        <w:spacing w:after="0"/>
        <w:ind w:left="851"/>
        <w:rPr>
          <w:b/>
        </w:rPr>
      </w:pPr>
      <w:r>
        <w:rPr>
          <w:color w:val="000000"/>
        </w:rPr>
        <w:t xml:space="preserve">As a health care professional, you are subject to provincial Occupational Health and Safety standards, as well as the standards and policies of the practice setting or organization in which </w:t>
      </w:r>
      <w:r w:rsidR="008335E9">
        <w:rPr>
          <w:color w:val="000000"/>
        </w:rPr>
        <w:t xml:space="preserve">the student </w:t>
      </w:r>
      <w:r>
        <w:rPr>
          <w:color w:val="000000"/>
        </w:rPr>
        <w:t xml:space="preserve">placement occurs. </w:t>
      </w:r>
    </w:p>
    <w:p w14:paraId="5507CA71" w14:textId="77777777" w:rsidR="00D9391E" w:rsidRDefault="00D9391E" w:rsidP="00D9391E">
      <w:pPr>
        <w:pBdr>
          <w:top w:val="nil"/>
          <w:left w:val="nil"/>
          <w:bottom w:val="nil"/>
          <w:right w:val="nil"/>
          <w:between w:val="nil"/>
        </w:pBdr>
        <w:spacing w:after="0"/>
        <w:rPr>
          <w:b/>
        </w:rPr>
      </w:pPr>
    </w:p>
    <w:p w14:paraId="71FB133A" w14:textId="3689FFE9" w:rsidR="006F136E" w:rsidRPr="00D9391E" w:rsidRDefault="00D60D3B" w:rsidP="00D9391E">
      <w:pPr>
        <w:pBdr>
          <w:top w:val="nil"/>
          <w:left w:val="nil"/>
          <w:bottom w:val="nil"/>
          <w:right w:val="nil"/>
          <w:between w:val="nil"/>
        </w:pBdr>
        <w:spacing w:after="0"/>
        <w:rPr>
          <w:b/>
          <w:u w:val="single"/>
        </w:rPr>
      </w:pPr>
      <w:r w:rsidRPr="00D9391E">
        <w:rPr>
          <w:b/>
          <w:u w:val="single"/>
        </w:rPr>
        <w:t>SPECIFICS OF THE GUIDELINE:</w:t>
      </w:r>
      <w:r w:rsidR="00D9391E">
        <w:rPr>
          <w:b/>
          <w:u w:val="single"/>
        </w:rPr>
        <w:t>____________________________________________________________</w:t>
      </w:r>
      <w:r w:rsidRPr="00D9391E">
        <w:rPr>
          <w:b/>
          <w:u w:val="single"/>
        </w:rPr>
        <w:t xml:space="preserve"> </w:t>
      </w:r>
    </w:p>
    <w:p w14:paraId="71FB133B" w14:textId="672B6E86" w:rsidR="006F136E" w:rsidRDefault="00D60D3B">
      <w:r>
        <w:lastRenderedPageBreak/>
        <w:t>Requirements for appropriate instructor attire include:</w:t>
      </w:r>
    </w:p>
    <w:p w14:paraId="71FB133C" w14:textId="77777777" w:rsidR="006F136E" w:rsidRDefault="00D60D3B">
      <w:pPr>
        <w:numPr>
          <w:ilvl w:val="2"/>
          <w:numId w:val="3"/>
        </w:numPr>
        <w:pBdr>
          <w:top w:val="nil"/>
          <w:left w:val="nil"/>
          <w:bottom w:val="nil"/>
          <w:right w:val="nil"/>
          <w:between w:val="nil"/>
        </w:pBdr>
        <w:spacing w:after="0"/>
        <w:ind w:left="709" w:hanging="283"/>
        <w:rPr>
          <w:color w:val="000000"/>
        </w:rPr>
      </w:pPr>
      <w:r>
        <w:rPr>
          <w:color w:val="000000"/>
        </w:rPr>
        <w:t>The approved NESA BN Programs identification badge whenever engaged in NESA associated activities (as outlined above).</w:t>
      </w:r>
    </w:p>
    <w:p w14:paraId="71FB133D" w14:textId="77777777" w:rsidR="006F136E" w:rsidRDefault="00D60D3B">
      <w:pPr>
        <w:numPr>
          <w:ilvl w:val="2"/>
          <w:numId w:val="3"/>
        </w:numPr>
        <w:pBdr>
          <w:top w:val="nil"/>
          <w:left w:val="nil"/>
          <w:bottom w:val="nil"/>
          <w:right w:val="nil"/>
          <w:between w:val="nil"/>
        </w:pBdr>
        <w:spacing w:after="0"/>
        <w:ind w:left="709" w:hanging="283"/>
        <w:rPr>
          <w:color w:val="000000"/>
        </w:rPr>
      </w:pPr>
      <w:r>
        <w:rPr>
          <w:color w:val="000000"/>
        </w:rPr>
        <w:t xml:space="preserve">A clean, pressed and maintained nursing uniform.  Instructors </w:t>
      </w:r>
      <w:r w:rsidRPr="00BE5875">
        <w:rPr>
          <w:bCs/>
          <w:i/>
          <w:iCs/>
          <w:color w:val="000000"/>
        </w:rPr>
        <w:t>may</w:t>
      </w:r>
      <w:r>
        <w:rPr>
          <w:b/>
          <w:color w:val="000000"/>
        </w:rPr>
        <w:t xml:space="preserve"> </w:t>
      </w:r>
      <w:r w:rsidRPr="00BE5875">
        <w:rPr>
          <w:bCs/>
          <w:color w:val="000000"/>
        </w:rPr>
        <w:t>choose</w:t>
      </w:r>
      <w:r w:rsidRPr="00740C66">
        <w:rPr>
          <w:bCs/>
          <w:color w:val="000000"/>
        </w:rPr>
        <w:t xml:space="preserve"> </w:t>
      </w:r>
      <w:r>
        <w:rPr>
          <w:color w:val="000000"/>
        </w:rPr>
        <w:t xml:space="preserve">to wear the official NESA BN Programs storm blue uniform pant and white uniform top. </w:t>
      </w:r>
    </w:p>
    <w:p w14:paraId="71FB133E" w14:textId="77777777" w:rsidR="006F136E" w:rsidRDefault="00D60D3B">
      <w:pPr>
        <w:numPr>
          <w:ilvl w:val="2"/>
          <w:numId w:val="3"/>
        </w:numPr>
        <w:pBdr>
          <w:top w:val="nil"/>
          <w:left w:val="nil"/>
          <w:bottom w:val="nil"/>
          <w:right w:val="nil"/>
          <w:between w:val="nil"/>
        </w:pBdr>
        <w:spacing w:after="0"/>
        <w:ind w:left="709" w:hanging="283"/>
        <w:rPr>
          <w:color w:val="000000"/>
        </w:rPr>
      </w:pPr>
      <w:r>
        <w:rPr>
          <w:color w:val="000000"/>
        </w:rPr>
        <w:t>Site appropriate business casual attire when engaged in applicable practice settings.</w:t>
      </w:r>
    </w:p>
    <w:p w14:paraId="71FB133F" w14:textId="01AE3AF6" w:rsidR="006F136E" w:rsidRDefault="006F136E" w:rsidP="00D9391E">
      <w:pPr>
        <w:pBdr>
          <w:top w:val="nil"/>
          <w:left w:val="nil"/>
          <w:bottom w:val="nil"/>
          <w:right w:val="nil"/>
          <w:between w:val="nil"/>
        </w:pBdr>
        <w:spacing w:after="0"/>
        <w:ind w:left="709"/>
        <w:rPr>
          <w:color w:val="000000"/>
        </w:rPr>
      </w:pPr>
    </w:p>
    <w:p w14:paraId="71FB1340" w14:textId="77777777" w:rsidR="006F136E" w:rsidRDefault="00D60D3B">
      <w:pPr>
        <w:numPr>
          <w:ilvl w:val="2"/>
          <w:numId w:val="3"/>
        </w:numPr>
        <w:pBdr>
          <w:top w:val="nil"/>
          <w:left w:val="nil"/>
          <w:bottom w:val="nil"/>
          <w:right w:val="nil"/>
          <w:between w:val="nil"/>
        </w:pBdr>
        <w:spacing w:after="0"/>
        <w:ind w:left="709" w:hanging="283"/>
        <w:rPr>
          <w:color w:val="000000"/>
        </w:rPr>
      </w:pPr>
      <w:r>
        <w:rPr>
          <w:color w:val="000000"/>
        </w:rPr>
        <w:t>Specifically, when engaged in practice:</w:t>
      </w:r>
    </w:p>
    <w:p w14:paraId="71FB1341" w14:textId="47EE1557" w:rsidR="006F136E" w:rsidRDefault="00D60D3B">
      <w:pPr>
        <w:numPr>
          <w:ilvl w:val="0"/>
          <w:numId w:val="4"/>
        </w:numPr>
        <w:pBdr>
          <w:top w:val="nil"/>
          <w:left w:val="nil"/>
          <w:bottom w:val="nil"/>
          <w:right w:val="nil"/>
          <w:between w:val="nil"/>
        </w:pBdr>
        <w:spacing w:after="0"/>
        <w:rPr>
          <w:color w:val="000000"/>
        </w:rPr>
      </w:pPr>
      <w:r>
        <w:rPr>
          <w:color w:val="000000"/>
        </w:rPr>
        <w:t>Secure hair away from the face</w:t>
      </w:r>
      <w:r w:rsidR="00CA027E">
        <w:rPr>
          <w:color w:val="000000"/>
        </w:rPr>
        <w:t>;</w:t>
      </w:r>
      <w:r>
        <w:rPr>
          <w:color w:val="000000"/>
        </w:rPr>
        <w:t xml:space="preserve"> </w:t>
      </w:r>
    </w:p>
    <w:p w14:paraId="71FB1342" w14:textId="057C30AC" w:rsidR="006F136E" w:rsidRDefault="00D60D3B">
      <w:pPr>
        <w:numPr>
          <w:ilvl w:val="0"/>
          <w:numId w:val="4"/>
        </w:numPr>
        <w:pBdr>
          <w:top w:val="nil"/>
          <w:left w:val="nil"/>
          <w:bottom w:val="nil"/>
          <w:right w:val="nil"/>
          <w:between w:val="nil"/>
        </w:pBdr>
        <w:spacing w:after="0"/>
        <w:rPr>
          <w:color w:val="000000"/>
        </w:rPr>
      </w:pPr>
      <w:r>
        <w:rPr>
          <w:color w:val="000000"/>
        </w:rPr>
        <w:t>No scented lotions</w:t>
      </w:r>
      <w:r w:rsidR="00CE4402">
        <w:rPr>
          <w:color w:val="000000"/>
        </w:rPr>
        <w:t>,</w:t>
      </w:r>
      <w:r>
        <w:rPr>
          <w:color w:val="000000"/>
        </w:rPr>
        <w:t xml:space="preserve"> perfumes</w:t>
      </w:r>
      <w:r w:rsidR="00CE4402">
        <w:rPr>
          <w:color w:val="000000"/>
        </w:rPr>
        <w:t>, or hair products should be worn</w:t>
      </w:r>
      <w:r w:rsidR="00CA027E">
        <w:rPr>
          <w:color w:val="000000"/>
        </w:rPr>
        <w:t>;</w:t>
      </w:r>
    </w:p>
    <w:p w14:paraId="71FB1343" w14:textId="66F27D5A" w:rsidR="006F136E" w:rsidRDefault="00D60D3B">
      <w:pPr>
        <w:numPr>
          <w:ilvl w:val="0"/>
          <w:numId w:val="4"/>
        </w:numPr>
        <w:pBdr>
          <w:top w:val="nil"/>
          <w:left w:val="nil"/>
          <w:bottom w:val="nil"/>
          <w:right w:val="nil"/>
          <w:between w:val="nil"/>
        </w:pBdr>
        <w:spacing w:after="0"/>
        <w:rPr>
          <w:color w:val="000000"/>
        </w:rPr>
      </w:pPr>
      <w:r>
        <w:rPr>
          <w:color w:val="000000"/>
        </w:rPr>
        <w:t>No gel nails, false nails, or nail polish</w:t>
      </w:r>
      <w:r w:rsidR="00CA027E">
        <w:rPr>
          <w:color w:val="000000"/>
        </w:rPr>
        <w:t xml:space="preserve"> are permitted;</w:t>
      </w:r>
      <w:r>
        <w:rPr>
          <w:color w:val="000000"/>
        </w:rPr>
        <w:t xml:space="preserve"> </w:t>
      </w:r>
    </w:p>
    <w:p w14:paraId="71FB1344" w14:textId="0863F3A1" w:rsidR="006F136E" w:rsidRDefault="00D60D3B">
      <w:pPr>
        <w:numPr>
          <w:ilvl w:val="0"/>
          <w:numId w:val="4"/>
        </w:numPr>
        <w:pBdr>
          <w:top w:val="nil"/>
          <w:left w:val="nil"/>
          <w:bottom w:val="nil"/>
          <w:right w:val="nil"/>
          <w:between w:val="nil"/>
        </w:pBdr>
        <w:spacing w:after="0"/>
        <w:rPr>
          <w:color w:val="000000"/>
        </w:rPr>
      </w:pPr>
      <w:r>
        <w:rPr>
          <w:color w:val="000000"/>
        </w:rPr>
        <w:t xml:space="preserve">Minimal </w:t>
      </w:r>
      <w:r w:rsidR="00CA027E">
        <w:rPr>
          <w:color w:val="000000"/>
        </w:rPr>
        <w:t>jewellery,</w:t>
      </w:r>
      <w:r>
        <w:rPr>
          <w:color w:val="000000"/>
        </w:rPr>
        <w:t xml:space="preserve"> i.e. a plain wedding band, small earrings</w:t>
      </w:r>
      <w:r w:rsidR="00CA027E">
        <w:rPr>
          <w:color w:val="000000"/>
        </w:rPr>
        <w:t>;</w:t>
      </w:r>
    </w:p>
    <w:p w14:paraId="71FB1346" w14:textId="54F4C075" w:rsidR="006F136E" w:rsidRDefault="00D60D3B">
      <w:pPr>
        <w:numPr>
          <w:ilvl w:val="0"/>
          <w:numId w:val="4"/>
        </w:numPr>
        <w:pBdr>
          <w:top w:val="nil"/>
          <w:left w:val="nil"/>
          <w:bottom w:val="nil"/>
          <w:right w:val="nil"/>
          <w:between w:val="nil"/>
        </w:pBdr>
        <w:spacing w:after="0"/>
        <w:rPr>
          <w:color w:val="000000"/>
        </w:rPr>
      </w:pPr>
      <w:r>
        <w:rPr>
          <w:color w:val="000000"/>
        </w:rPr>
        <w:t xml:space="preserve">Wear footwear that conforms to </w:t>
      </w:r>
      <w:r w:rsidR="00621E44">
        <w:rPr>
          <w:color w:val="000000"/>
        </w:rPr>
        <w:t>agency/organization standards</w:t>
      </w:r>
      <w:r>
        <w:rPr>
          <w:color w:val="000000"/>
        </w:rPr>
        <w:t xml:space="preserve">; (generally, shoes </w:t>
      </w:r>
      <w:r w:rsidR="00251A20">
        <w:rPr>
          <w:color w:val="000000"/>
        </w:rPr>
        <w:t xml:space="preserve">must </w:t>
      </w:r>
      <w:r>
        <w:rPr>
          <w:color w:val="000000"/>
        </w:rPr>
        <w:t xml:space="preserve">be clean, professional in appearance, </w:t>
      </w:r>
      <w:r w:rsidR="00251A20">
        <w:rPr>
          <w:color w:val="000000"/>
        </w:rPr>
        <w:t xml:space="preserve">with </w:t>
      </w:r>
      <w:r>
        <w:rPr>
          <w:color w:val="000000"/>
        </w:rPr>
        <w:t>closed-toe and –heel,</w:t>
      </w:r>
      <w:r w:rsidR="00251A20">
        <w:rPr>
          <w:color w:val="000000"/>
        </w:rPr>
        <w:t xml:space="preserve"> and</w:t>
      </w:r>
      <w:r>
        <w:rPr>
          <w:color w:val="000000"/>
        </w:rPr>
        <w:t xml:space="preserve"> non-slip soles. </w:t>
      </w:r>
    </w:p>
    <w:p w14:paraId="71FB1348" w14:textId="2055135D" w:rsidR="006F136E" w:rsidRPr="00D9391E" w:rsidRDefault="00D60D3B" w:rsidP="00D9391E">
      <w:pPr>
        <w:numPr>
          <w:ilvl w:val="0"/>
          <w:numId w:val="4"/>
        </w:numPr>
        <w:pBdr>
          <w:top w:val="nil"/>
          <w:left w:val="nil"/>
          <w:bottom w:val="single" w:sz="4" w:space="1" w:color="000000"/>
          <w:right w:val="nil"/>
          <w:between w:val="nil"/>
        </w:pBdr>
        <w:rPr>
          <w:color w:val="000000"/>
        </w:rPr>
      </w:pPr>
      <w:r>
        <w:rPr>
          <w:color w:val="000000"/>
        </w:rPr>
        <w:t xml:space="preserve">Groom facial hair to </w:t>
      </w:r>
      <w:r w:rsidR="00621E44">
        <w:rPr>
          <w:color w:val="000000"/>
        </w:rPr>
        <w:t>comply with agency/organization standards.</w:t>
      </w:r>
    </w:p>
    <w:p w14:paraId="020E2AF5" w14:textId="6637FF52" w:rsidR="00D9391E" w:rsidRPr="00D9391E" w:rsidRDefault="00D9391E" w:rsidP="00D9391E">
      <w:pPr>
        <w:pBdr>
          <w:bottom w:val="single" w:sz="4" w:space="1" w:color="000000"/>
        </w:pBdr>
        <w:tabs>
          <w:tab w:val="right" w:pos="9360"/>
        </w:tabs>
        <w:rPr>
          <w:b/>
          <w:u w:val="single"/>
        </w:rPr>
      </w:pPr>
      <w:r w:rsidRPr="00D9391E">
        <w:rPr>
          <w:b/>
          <w:u w:val="single"/>
        </w:rPr>
        <w:t>APPENDIX:</w:t>
      </w:r>
      <w:r>
        <w:rPr>
          <w:b/>
          <w:u w:val="single"/>
        </w:rPr>
        <w:t>____________________________________________________________________________</w:t>
      </w:r>
    </w:p>
    <w:p w14:paraId="71FB134A" w14:textId="4897C931" w:rsidR="006F136E" w:rsidRDefault="00D60D3B" w:rsidP="00D9391E">
      <w:pPr>
        <w:pBdr>
          <w:bottom w:val="single" w:sz="4" w:space="1" w:color="000000"/>
        </w:pBdr>
        <w:tabs>
          <w:tab w:val="right" w:pos="9360"/>
        </w:tabs>
        <w:rPr>
          <w:b/>
        </w:rPr>
      </w:pPr>
      <w:r>
        <w:rPr>
          <w:b/>
        </w:rPr>
        <w:t>N/A</w:t>
      </w:r>
    </w:p>
    <w:p w14:paraId="71FB134B" w14:textId="77777777" w:rsidR="006F136E" w:rsidRDefault="00D60D3B">
      <w:pPr>
        <w:pBdr>
          <w:bottom w:val="single" w:sz="4" w:space="1" w:color="000000"/>
        </w:pBdr>
      </w:pPr>
      <w:r>
        <w:rPr>
          <w:b/>
        </w:rPr>
        <w:t xml:space="preserve">RELATED POLICIES/ASSOCIATED GUIDELINES: </w:t>
      </w:r>
    </w:p>
    <w:p w14:paraId="71FB134C" w14:textId="77777777" w:rsidR="006F136E" w:rsidRDefault="00D60D3B">
      <w:pPr>
        <w:spacing w:after="0"/>
        <w:rPr>
          <w:i/>
        </w:rPr>
      </w:pPr>
      <w:r>
        <w:t>NESA BN Program Policy: Student Uniform/Dress</w:t>
      </w:r>
      <w:r>
        <w:rPr>
          <w:i/>
        </w:rPr>
        <w:tab/>
      </w:r>
    </w:p>
    <w:p w14:paraId="71FB134D" w14:textId="77777777" w:rsidR="006F136E" w:rsidRDefault="006F136E">
      <w:pPr>
        <w:spacing w:after="0"/>
      </w:pPr>
    </w:p>
    <w:p w14:paraId="71FB134E" w14:textId="77777777" w:rsidR="006F136E" w:rsidRDefault="00D60D3B">
      <w:pPr>
        <w:spacing w:after="0" w:line="480" w:lineRule="auto"/>
      </w:pPr>
      <w:r>
        <w:rPr>
          <w:b/>
        </w:rPr>
        <w:t>REFERENCES:</w:t>
      </w:r>
      <w:r>
        <w:t xml:space="preserve">  </w:t>
      </w:r>
    </w:p>
    <w:p w14:paraId="71FB134F" w14:textId="77777777" w:rsidR="006F136E" w:rsidRDefault="00D60D3B" w:rsidP="00BC379C">
      <w:pPr>
        <w:spacing w:after="0" w:line="480" w:lineRule="auto"/>
      </w:pPr>
      <w:r>
        <w:t xml:space="preserve">Alberta Health Services. (2019). </w:t>
      </w:r>
      <w:r>
        <w:rPr>
          <w:i/>
        </w:rPr>
        <w:t xml:space="preserve">Healthcare Attire (Scrubs and Uniforms) Information Sheet. </w:t>
      </w:r>
      <w:r>
        <w:t>Retrieved from https://www.albertahealthservices.ca/assets/healthinfo/ipc/hi-ipc-hlthcare-attire-scrubs-uniforms-info-sht-z0-bpr-pt-care.pdf</w:t>
      </w:r>
    </w:p>
    <w:p w14:paraId="71FB1350" w14:textId="77777777" w:rsidR="006F136E" w:rsidRDefault="00D60D3B">
      <w:pPr>
        <w:spacing w:after="0" w:line="480" w:lineRule="auto"/>
        <w:rPr>
          <w:i/>
        </w:rPr>
      </w:pPr>
      <w:r>
        <w:t xml:space="preserve">Alberta Health Services. (2012). </w:t>
      </w:r>
      <w:r>
        <w:rPr>
          <w:i/>
        </w:rPr>
        <w:t xml:space="preserve">Uniform and Dress Code Guidelines. </w:t>
      </w:r>
      <w:r>
        <w:t>Edmonton AB: Author.</w:t>
      </w:r>
    </w:p>
    <w:p w14:paraId="71FB1351" w14:textId="77777777" w:rsidR="006F136E" w:rsidRDefault="00D60D3B">
      <w:pPr>
        <w:spacing w:after="0" w:line="480" w:lineRule="auto"/>
        <w:ind w:left="567" w:hanging="567"/>
      </w:pPr>
      <w:r>
        <w:t xml:space="preserve">Alberta Health Services. (2020). </w:t>
      </w:r>
      <w:r>
        <w:rPr>
          <w:i/>
        </w:rPr>
        <w:t xml:space="preserve">Hand Hygiene Clinical Policy. </w:t>
      </w:r>
      <w:r>
        <w:t>Retrieved from https://extranet.ahsnet.ca/teams/policydocuments/1/clp-hand-hygiene-ps-02-policy.pdf</w:t>
      </w:r>
    </w:p>
    <w:p w14:paraId="71FB1352" w14:textId="77777777" w:rsidR="006F136E" w:rsidRDefault="00D60D3B">
      <w:pPr>
        <w:spacing w:after="0" w:line="480" w:lineRule="auto"/>
        <w:ind w:left="567" w:hanging="567"/>
        <w:rPr>
          <w:i/>
        </w:rPr>
      </w:pPr>
      <w:r>
        <w:t xml:space="preserve">Government of Alberta, Occupational Health &amp; Safety Code. (2009). </w:t>
      </w:r>
      <w:r>
        <w:rPr>
          <w:i/>
        </w:rPr>
        <w:t xml:space="preserve">Part 18, Personal    </w:t>
      </w:r>
    </w:p>
    <w:p w14:paraId="71FB1353" w14:textId="77777777" w:rsidR="006F136E" w:rsidRDefault="00D60D3B">
      <w:pPr>
        <w:spacing w:after="0" w:line="480" w:lineRule="auto"/>
        <w:ind w:left="720"/>
      </w:pPr>
      <w:r>
        <w:rPr>
          <w:i/>
        </w:rPr>
        <w:lastRenderedPageBreak/>
        <w:t xml:space="preserve">Protective Equipment: Section 233, Footwear. </w:t>
      </w:r>
      <w:r>
        <w:t xml:space="preserve">Retrieved from </w:t>
      </w:r>
      <w:hyperlink r:id="rId10">
        <w:r>
          <w:rPr>
            <w:color w:val="000000"/>
            <w:u w:val="single"/>
          </w:rPr>
          <w:t>http://www.employment.alberta.ca/SearchAARC/579.html</w:t>
        </w:r>
      </w:hyperlink>
    </w:p>
    <w:p w14:paraId="71FB1354" w14:textId="77777777" w:rsidR="006F136E" w:rsidRDefault="00D60D3B">
      <w:pPr>
        <w:spacing w:after="0" w:line="480" w:lineRule="auto"/>
      </w:pPr>
      <w:r>
        <w:t xml:space="preserve">Canadian Standards Association. (2009, November). </w:t>
      </w:r>
      <w:hyperlink r:id="rId11">
        <w:r>
          <w:rPr>
            <w:i/>
            <w:color w:val="000000"/>
          </w:rPr>
          <w:t>Protective Footwea</w:t>
        </w:r>
      </w:hyperlink>
      <w:hyperlink r:id="rId12">
        <w:r>
          <w:rPr>
            <w:color w:val="000000"/>
          </w:rPr>
          <w:t>r</w:t>
        </w:r>
      </w:hyperlink>
      <w:r>
        <w:t xml:space="preserve"> (Brief No. Z195-09). Retrieved  </w:t>
      </w:r>
    </w:p>
    <w:p w14:paraId="71FB1355" w14:textId="77777777" w:rsidR="006F136E" w:rsidRDefault="00D60D3B">
      <w:pPr>
        <w:spacing w:after="0" w:line="480" w:lineRule="auto"/>
      </w:pPr>
      <w:r>
        <w:t xml:space="preserve">             from: </w:t>
      </w:r>
      <w:hyperlink r:id="rId13">
        <w:r>
          <w:rPr>
            <w:color w:val="000000"/>
            <w:u w:val="single"/>
          </w:rPr>
          <w:t>https://www.safeshoes.com/media/wysiwyg/docs/Protective-footwear-guide.pdf</w:t>
        </w:r>
      </w:hyperlink>
    </w:p>
    <w:p w14:paraId="71FB1356" w14:textId="77777777" w:rsidR="006F136E" w:rsidRDefault="006F136E">
      <w:pPr>
        <w:pBdr>
          <w:bottom w:val="single" w:sz="4" w:space="1" w:color="000000"/>
        </w:pBdr>
        <w:rPr>
          <w:i/>
          <w:color w:val="FF0000"/>
          <w:sz w:val="16"/>
          <w:szCs w:val="16"/>
        </w:rPr>
      </w:pPr>
    </w:p>
    <w:p w14:paraId="71FB1357" w14:textId="77777777" w:rsidR="006F136E" w:rsidRDefault="00D60D3B">
      <w:pPr>
        <w:rPr>
          <w:b/>
          <w:i/>
        </w:rPr>
      </w:pPr>
      <w:r>
        <w:rPr>
          <w:b/>
          <w:i/>
        </w:rPr>
        <w:t>*NOTE: NESA Policies exist within organizational frameworks of policy for Lethbridge College and the University of Lethbridge, and within agreements established with practice partner organizations. If and when NESA policies are found to differ from such policies and agreements, it is important to note that such policies/agreements will take precedence over NESA program policies.</w:t>
      </w:r>
    </w:p>
    <w:p w14:paraId="71FB1358" w14:textId="77777777" w:rsidR="006F136E" w:rsidRDefault="006F136E">
      <w:pPr>
        <w:rPr>
          <w:b/>
          <w:i/>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6"/>
        <w:gridCol w:w="4674"/>
      </w:tblGrid>
      <w:tr w:rsidR="006F136E" w14:paraId="71FB135B" w14:textId="77777777">
        <w:tc>
          <w:tcPr>
            <w:tcW w:w="4676" w:type="dxa"/>
          </w:tcPr>
          <w:p w14:paraId="71FB1359" w14:textId="77777777" w:rsidR="006F136E" w:rsidRDefault="00D60D3B">
            <w:pPr>
              <w:rPr>
                <w:b/>
              </w:rPr>
            </w:pPr>
            <w:r>
              <w:rPr>
                <w:b/>
              </w:rPr>
              <w:t>Revised By/date:</w:t>
            </w:r>
          </w:p>
        </w:tc>
        <w:tc>
          <w:tcPr>
            <w:tcW w:w="4674" w:type="dxa"/>
          </w:tcPr>
          <w:p w14:paraId="71FB135A" w14:textId="77777777" w:rsidR="006F136E" w:rsidRDefault="00D60D3B">
            <w:r>
              <w:rPr>
                <w:b/>
              </w:rPr>
              <w:t>Approved by/date:</w:t>
            </w:r>
          </w:p>
        </w:tc>
      </w:tr>
      <w:tr w:rsidR="006F136E" w14:paraId="71FB135E" w14:textId="77777777">
        <w:tc>
          <w:tcPr>
            <w:tcW w:w="4676" w:type="dxa"/>
          </w:tcPr>
          <w:p w14:paraId="71FB135C" w14:textId="77777777" w:rsidR="006F136E" w:rsidRDefault="00D60D3B">
            <w:r>
              <w:t>Policy Review Committee: April 2014</w:t>
            </w:r>
          </w:p>
        </w:tc>
        <w:tc>
          <w:tcPr>
            <w:tcW w:w="4674" w:type="dxa"/>
          </w:tcPr>
          <w:p w14:paraId="71FB135D" w14:textId="77777777" w:rsidR="006F136E" w:rsidRDefault="00D60D3B">
            <w:r>
              <w:t>NESA Joint Faculty Council: May 14, 2014</w:t>
            </w:r>
          </w:p>
        </w:tc>
      </w:tr>
      <w:tr w:rsidR="006F136E" w14:paraId="71FB1361" w14:textId="77777777">
        <w:tc>
          <w:tcPr>
            <w:tcW w:w="4676" w:type="dxa"/>
          </w:tcPr>
          <w:p w14:paraId="71FB135F" w14:textId="77777777" w:rsidR="006F136E" w:rsidRDefault="00D60D3B">
            <w:r>
              <w:t>Policy Review Committee: March 2015</w:t>
            </w:r>
          </w:p>
        </w:tc>
        <w:tc>
          <w:tcPr>
            <w:tcW w:w="4674" w:type="dxa"/>
          </w:tcPr>
          <w:p w14:paraId="71FB1360" w14:textId="77777777" w:rsidR="006F136E" w:rsidRDefault="00D60D3B">
            <w:r>
              <w:t>NESA Joint Faculty Council: May 12, 2015</w:t>
            </w:r>
          </w:p>
        </w:tc>
      </w:tr>
      <w:tr w:rsidR="006F136E" w14:paraId="71FB1364" w14:textId="77777777">
        <w:tc>
          <w:tcPr>
            <w:tcW w:w="4676" w:type="dxa"/>
          </w:tcPr>
          <w:p w14:paraId="71FB1362" w14:textId="77777777" w:rsidR="006F136E" w:rsidRDefault="00D60D3B">
            <w:r>
              <w:t xml:space="preserve">Policy Review Committee: April 2016 </w:t>
            </w:r>
          </w:p>
        </w:tc>
        <w:tc>
          <w:tcPr>
            <w:tcW w:w="4674" w:type="dxa"/>
          </w:tcPr>
          <w:p w14:paraId="71FB1363" w14:textId="77777777" w:rsidR="006F136E" w:rsidRDefault="00D60D3B">
            <w:r>
              <w:t>Not Required: no change</w:t>
            </w:r>
          </w:p>
        </w:tc>
      </w:tr>
      <w:tr w:rsidR="006F136E" w14:paraId="71FB1367" w14:textId="77777777">
        <w:tc>
          <w:tcPr>
            <w:tcW w:w="4676" w:type="dxa"/>
          </w:tcPr>
          <w:p w14:paraId="71FB1365" w14:textId="77777777" w:rsidR="006F136E" w:rsidRDefault="00D60D3B">
            <w:r>
              <w:t>Policy Review Committee: April 2017</w:t>
            </w:r>
          </w:p>
        </w:tc>
        <w:tc>
          <w:tcPr>
            <w:tcW w:w="4674" w:type="dxa"/>
          </w:tcPr>
          <w:p w14:paraId="71FB1366" w14:textId="77777777" w:rsidR="006F136E" w:rsidRDefault="00D60D3B">
            <w:r>
              <w:t>Not Required: editorial changes</w:t>
            </w:r>
          </w:p>
        </w:tc>
      </w:tr>
      <w:tr w:rsidR="006F136E" w14:paraId="71FB136A" w14:textId="77777777">
        <w:tc>
          <w:tcPr>
            <w:tcW w:w="4676" w:type="dxa"/>
          </w:tcPr>
          <w:p w14:paraId="71FB1368" w14:textId="77777777" w:rsidR="006F136E" w:rsidRDefault="00D60D3B">
            <w:r>
              <w:t>Policy Review Committee: December 2017</w:t>
            </w:r>
          </w:p>
        </w:tc>
        <w:tc>
          <w:tcPr>
            <w:tcW w:w="4674" w:type="dxa"/>
          </w:tcPr>
          <w:p w14:paraId="71FB1369" w14:textId="77777777" w:rsidR="006F136E" w:rsidRDefault="00D60D3B">
            <w:r>
              <w:t>Not Required: no change</w:t>
            </w:r>
          </w:p>
        </w:tc>
      </w:tr>
      <w:tr w:rsidR="006F136E" w14:paraId="71FB136D" w14:textId="77777777">
        <w:tc>
          <w:tcPr>
            <w:tcW w:w="4676" w:type="dxa"/>
          </w:tcPr>
          <w:p w14:paraId="71FB136B" w14:textId="77777777" w:rsidR="006F136E" w:rsidRDefault="00D60D3B">
            <w:r>
              <w:t>Policy Review Committee: January 2019</w:t>
            </w:r>
          </w:p>
        </w:tc>
        <w:tc>
          <w:tcPr>
            <w:tcW w:w="4674" w:type="dxa"/>
          </w:tcPr>
          <w:p w14:paraId="71FB136C" w14:textId="77777777" w:rsidR="006F136E" w:rsidRDefault="00D60D3B">
            <w:r>
              <w:t>Not Required: no change</w:t>
            </w:r>
          </w:p>
        </w:tc>
      </w:tr>
      <w:tr w:rsidR="006F136E" w14:paraId="71FB1370" w14:textId="77777777">
        <w:tc>
          <w:tcPr>
            <w:tcW w:w="4676" w:type="dxa"/>
          </w:tcPr>
          <w:p w14:paraId="71FB136E" w14:textId="77777777" w:rsidR="006F136E" w:rsidRDefault="00D60D3B">
            <w:r>
              <w:t>Policy Review Committee: April 2020</w:t>
            </w:r>
          </w:p>
        </w:tc>
        <w:tc>
          <w:tcPr>
            <w:tcW w:w="4674" w:type="dxa"/>
          </w:tcPr>
          <w:p w14:paraId="71FB136F" w14:textId="77777777" w:rsidR="006F136E" w:rsidRDefault="00D60D3B">
            <w:r>
              <w:t>Not Required: editorial changes</w:t>
            </w:r>
          </w:p>
        </w:tc>
      </w:tr>
      <w:tr w:rsidR="00BE5875" w14:paraId="032C51D7" w14:textId="77777777">
        <w:tc>
          <w:tcPr>
            <w:tcW w:w="4676" w:type="dxa"/>
          </w:tcPr>
          <w:p w14:paraId="69FC0D07" w14:textId="7AF6FD37" w:rsidR="00BE5875" w:rsidRDefault="00BE5875">
            <w:r>
              <w:t>Policy Review Committee: April 2021</w:t>
            </w:r>
          </w:p>
        </w:tc>
        <w:tc>
          <w:tcPr>
            <w:tcW w:w="4674" w:type="dxa"/>
          </w:tcPr>
          <w:p w14:paraId="058CBC9C" w14:textId="4F80B40B" w:rsidR="00BE5875" w:rsidRDefault="00BE5875">
            <w:r>
              <w:t>Not Required: editorial changes</w:t>
            </w:r>
          </w:p>
        </w:tc>
      </w:tr>
    </w:tbl>
    <w:p w14:paraId="71FB1371" w14:textId="77777777" w:rsidR="006F136E" w:rsidRDefault="006F136E"/>
    <w:sectPr w:rsidR="006F136E">
      <w:headerReference w:type="default" r:id="rId14"/>
      <w:footerReference w:type="defaul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6EA5" w14:textId="77777777" w:rsidR="00D60D3B" w:rsidRDefault="00D60D3B">
      <w:pPr>
        <w:spacing w:after="0" w:line="240" w:lineRule="auto"/>
      </w:pPr>
      <w:r>
        <w:separator/>
      </w:r>
    </w:p>
  </w:endnote>
  <w:endnote w:type="continuationSeparator" w:id="0">
    <w:p w14:paraId="61FA81EF" w14:textId="77777777" w:rsidR="00D60D3B" w:rsidRDefault="00D6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1376" w14:textId="072124E6" w:rsidR="006F136E" w:rsidRDefault="00D60D3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35D20">
      <w:rPr>
        <w:noProof/>
        <w:color w:val="000000"/>
      </w:rPr>
      <w:t>1</w:t>
    </w:r>
    <w:r>
      <w:rPr>
        <w:color w:val="000000"/>
      </w:rPr>
      <w:fldChar w:fldCharType="end"/>
    </w:r>
  </w:p>
  <w:p w14:paraId="71FB1377" w14:textId="77777777" w:rsidR="006F136E" w:rsidRDefault="006F136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2851" w14:textId="77777777" w:rsidR="00D60D3B" w:rsidRDefault="00D60D3B">
      <w:pPr>
        <w:spacing w:after="0" w:line="240" w:lineRule="auto"/>
      </w:pPr>
      <w:r>
        <w:separator/>
      </w:r>
    </w:p>
  </w:footnote>
  <w:footnote w:type="continuationSeparator" w:id="0">
    <w:p w14:paraId="5A60EDD0" w14:textId="77777777" w:rsidR="00D60D3B" w:rsidRDefault="00D60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1374" w14:textId="77777777" w:rsidR="006F136E" w:rsidRDefault="006F136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71FB1375" w14:textId="77777777" w:rsidR="006F136E" w:rsidRDefault="006F136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DCA"/>
    <w:multiLevelType w:val="multilevel"/>
    <w:tmpl w:val="FACC020E"/>
    <w:lvl w:ilvl="0">
      <w:start w:val="1"/>
      <w:numFmt w:val="upperRoman"/>
      <w:lvlText w:val="%1."/>
      <w:lvlJc w:val="left"/>
      <w:pPr>
        <w:ind w:left="1080" w:hanging="720"/>
      </w:pPr>
    </w:lvl>
    <w:lvl w:ilvl="1">
      <w:start w:val="1"/>
      <w:numFmt w:val="upperRoman"/>
      <w:lvlText w:val="%2."/>
      <w:lvlJc w:val="righ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192856"/>
    <w:multiLevelType w:val="multilevel"/>
    <w:tmpl w:val="45565886"/>
    <w:lvl w:ilvl="0">
      <w:start w:val="1"/>
      <w:numFmt w:val="upperRoman"/>
      <w:lvlText w:val="%1."/>
      <w:lvlJc w:val="left"/>
      <w:pPr>
        <w:ind w:left="1080" w:hanging="720"/>
      </w:pPr>
    </w:lvl>
    <w:lvl w:ilvl="1">
      <w:start w:val="1"/>
      <w:numFmt w:val="decimal"/>
      <w:lvlText w:val="%2."/>
      <w:lvlJc w:val="righ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8A0FA4"/>
    <w:multiLevelType w:val="multilevel"/>
    <w:tmpl w:val="8AE27C7A"/>
    <w:lvl w:ilvl="0">
      <w:start w:val="1"/>
      <w:numFmt w:val="lowerLetter"/>
      <w:lvlText w:val="%1."/>
      <w:lvlJc w:val="left"/>
      <w:pPr>
        <w:ind w:left="1800" w:hanging="360"/>
      </w:pPr>
    </w:lvl>
    <w:lvl w:ilvl="1">
      <w:start w:val="1"/>
      <w:numFmt w:val="lowerRoman"/>
      <w:lvlText w:val="%2."/>
      <w:lvlJc w:val="left"/>
      <w:pPr>
        <w:ind w:left="2520" w:hanging="360"/>
      </w:pPr>
      <w:rPr>
        <w:b w:val="0"/>
        <w:i w:val="0"/>
      </w:rPr>
    </w:lvl>
    <w:lvl w:ilvl="2">
      <w:start w:val="1"/>
      <w:numFmt w:val="decimal"/>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4A65390C"/>
    <w:multiLevelType w:val="multilevel"/>
    <w:tmpl w:val="650CE30A"/>
    <w:lvl w:ilvl="0">
      <w:start w:val="1"/>
      <w:numFmt w:val="upperRoman"/>
      <w:lvlText w:val="%1."/>
      <w:lvlJc w:val="left"/>
      <w:pPr>
        <w:ind w:left="1080" w:hanging="720"/>
      </w:pPr>
    </w:lvl>
    <w:lvl w:ilvl="1">
      <w:start w:val="1"/>
      <w:numFmt w:val="decimal"/>
      <w:lvlText w:val="%2."/>
      <w:lvlJc w:val="righ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7623F8"/>
    <w:multiLevelType w:val="multilevel"/>
    <w:tmpl w:val="1842E8D6"/>
    <w:lvl w:ilvl="0">
      <w:start w:val="1"/>
      <w:numFmt w:val="lowerLetter"/>
      <w:lvlText w:val="%1."/>
      <w:lvlJc w:val="left"/>
      <w:pPr>
        <w:ind w:left="2061" w:hanging="360"/>
      </w:pPr>
      <w:rPr>
        <w:b w:val="0"/>
        <w:i w:val="0"/>
      </w:rPr>
    </w:lvl>
    <w:lvl w:ilvl="1">
      <w:start w:val="1"/>
      <w:numFmt w:val="lowerLetter"/>
      <w:lvlText w:val="%2."/>
      <w:lvlJc w:val="left"/>
      <w:pPr>
        <w:ind w:left="2061" w:hanging="360"/>
      </w:pPr>
    </w:lvl>
    <w:lvl w:ilvl="2">
      <w:start w:val="1"/>
      <w:numFmt w:val="lowerRoman"/>
      <w:lvlText w:val="%3."/>
      <w:lvlJc w:val="right"/>
      <w:pPr>
        <w:ind w:left="2781" w:hanging="180"/>
      </w:pPr>
    </w:lvl>
    <w:lvl w:ilvl="3">
      <w:start w:val="1"/>
      <w:numFmt w:val="decimal"/>
      <w:lvlText w:val="%4."/>
      <w:lvlJc w:val="left"/>
      <w:pPr>
        <w:ind w:left="3501" w:hanging="360"/>
      </w:pPr>
    </w:lvl>
    <w:lvl w:ilvl="4">
      <w:start w:val="1"/>
      <w:numFmt w:val="lowerLetter"/>
      <w:lvlText w:val="%5."/>
      <w:lvlJc w:val="left"/>
      <w:pPr>
        <w:ind w:left="4221" w:hanging="360"/>
      </w:pPr>
    </w:lvl>
    <w:lvl w:ilvl="5">
      <w:start w:val="1"/>
      <w:numFmt w:val="lowerRoman"/>
      <w:lvlText w:val="%6."/>
      <w:lvlJc w:val="right"/>
      <w:pPr>
        <w:ind w:left="4941" w:hanging="180"/>
      </w:pPr>
    </w:lvl>
    <w:lvl w:ilvl="6">
      <w:start w:val="1"/>
      <w:numFmt w:val="decimal"/>
      <w:lvlText w:val="%7."/>
      <w:lvlJc w:val="left"/>
      <w:pPr>
        <w:ind w:left="5661" w:hanging="360"/>
      </w:pPr>
    </w:lvl>
    <w:lvl w:ilvl="7">
      <w:start w:val="1"/>
      <w:numFmt w:val="lowerLetter"/>
      <w:lvlText w:val="%8."/>
      <w:lvlJc w:val="left"/>
      <w:pPr>
        <w:ind w:left="6381" w:hanging="360"/>
      </w:pPr>
    </w:lvl>
    <w:lvl w:ilvl="8">
      <w:start w:val="1"/>
      <w:numFmt w:val="lowerRoman"/>
      <w:lvlText w:val="%9."/>
      <w:lvlJc w:val="right"/>
      <w:pPr>
        <w:ind w:left="7101"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6E"/>
    <w:rsid w:val="001321D6"/>
    <w:rsid w:val="00137FBA"/>
    <w:rsid w:val="001D4130"/>
    <w:rsid w:val="00240725"/>
    <w:rsid w:val="00251A20"/>
    <w:rsid w:val="00262100"/>
    <w:rsid w:val="0032039C"/>
    <w:rsid w:val="003D6DA6"/>
    <w:rsid w:val="00503C2F"/>
    <w:rsid w:val="005153ED"/>
    <w:rsid w:val="00591AB8"/>
    <w:rsid w:val="00621E44"/>
    <w:rsid w:val="006F136E"/>
    <w:rsid w:val="00702335"/>
    <w:rsid w:val="00740C66"/>
    <w:rsid w:val="008335E9"/>
    <w:rsid w:val="00BC379C"/>
    <w:rsid w:val="00BE5875"/>
    <w:rsid w:val="00BF649A"/>
    <w:rsid w:val="00C25F67"/>
    <w:rsid w:val="00CA027E"/>
    <w:rsid w:val="00CA5270"/>
    <w:rsid w:val="00CE4402"/>
    <w:rsid w:val="00D35D20"/>
    <w:rsid w:val="00D60D3B"/>
    <w:rsid w:val="00D93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1322"/>
  <w15:docId w15:val="{C268CE91-6B64-0644-A36C-A8605ABE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UnresolvedMention">
    <w:name w:val="Unresolved Mention"/>
    <w:basedOn w:val="DefaultParagraphFont"/>
    <w:uiPriority w:val="99"/>
    <w:semiHidden/>
    <w:unhideWhenUsed/>
    <w:rsid w:val="00211D2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BF649A"/>
    <w:rPr>
      <w:sz w:val="16"/>
      <w:szCs w:val="16"/>
    </w:rPr>
  </w:style>
  <w:style w:type="paragraph" w:styleId="CommentText">
    <w:name w:val="annotation text"/>
    <w:basedOn w:val="Normal"/>
    <w:link w:val="CommentTextChar"/>
    <w:uiPriority w:val="99"/>
    <w:semiHidden/>
    <w:unhideWhenUsed/>
    <w:rsid w:val="00BF649A"/>
    <w:pPr>
      <w:spacing w:line="240" w:lineRule="auto"/>
    </w:pPr>
    <w:rPr>
      <w:sz w:val="20"/>
      <w:szCs w:val="20"/>
    </w:rPr>
  </w:style>
  <w:style w:type="character" w:customStyle="1" w:styleId="CommentTextChar">
    <w:name w:val="Comment Text Char"/>
    <w:basedOn w:val="DefaultParagraphFont"/>
    <w:link w:val="CommentText"/>
    <w:uiPriority w:val="99"/>
    <w:semiHidden/>
    <w:rsid w:val="00BF649A"/>
    <w:rPr>
      <w:sz w:val="20"/>
      <w:szCs w:val="20"/>
    </w:rPr>
  </w:style>
  <w:style w:type="paragraph" w:styleId="CommentSubject">
    <w:name w:val="annotation subject"/>
    <w:basedOn w:val="CommentText"/>
    <w:next w:val="CommentText"/>
    <w:link w:val="CommentSubjectChar"/>
    <w:uiPriority w:val="99"/>
    <w:semiHidden/>
    <w:unhideWhenUsed/>
    <w:rsid w:val="00BF649A"/>
    <w:rPr>
      <w:b/>
      <w:bCs/>
    </w:rPr>
  </w:style>
  <w:style w:type="character" w:customStyle="1" w:styleId="CommentSubjectChar">
    <w:name w:val="Comment Subject Char"/>
    <w:basedOn w:val="CommentTextChar"/>
    <w:link w:val="CommentSubject"/>
    <w:uiPriority w:val="99"/>
    <w:semiHidden/>
    <w:rsid w:val="00BF6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feshoes.com/media/wysiwyg/docs/Protective-footwear-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on.ccohs.ca/legislation/documents/stds/csa/cprfo09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on.ccohs.ca/legislation/documents/stds/csa/cprfo09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ployment.alberta.ca/SearchAARC/579.html" TargetMode="External"/><Relationship Id="rId4" Type="http://schemas.openxmlformats.org/officeDocument/2006/relationships/settings" Target="settings.xml"/><Relationship Id="rId9" Type="http://schemas.openxmlformats.org/officeDocument/2006/relationships/hyperlink" Target="http://cpd.degroote.mcmaster.ca/student-services/mba-dress-code/business-casual-atti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9zhG8ZLS0UCmJ0dU+JHVLQ5A==">AMUW2mU0HzFfNTF0LZws74QBHxOb3f88BqQ0fwIuczz2kAjvr0j2mgTBvT8jMzrLA9rT964SEeVQQ23Ld4suIZu+6A5n24kctg7qj6+PjWXkcasbX16lojk=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Marthiensen, Bob</cp:lastModifiedBy>
  <cp:revision>4</cp:revision>
  <dcterms:created xsi:type="dcterms:W3CDTF">2021-06-14T22:19:00Z</dcterms:created>
  <dcterms:modified xsi:type="dcterms:W3CDTF">2021-06-16T16:17:00Z</dcterms:modified>
</cp:coreProperties>
</file>