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353C"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5A65355E" wp14:editId="5A65355F">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5A65353D" w14:textId="5249F3FD" w:rsidR="00D75385" w:rsidRPr="00993AC4" w:rsidRDefault="5C5AB282" w:rsidP="5C5AB282">
      <w:pPr>
        <w:spacing w:before="240"/>
        <w:jc w:val="center"/>
        <w:rPr>
          <w:b/>
          <w:bCs/>
          <w:sz w:val="36"/>
          <w:szCs w:val="36"/>
          <w:lang w:val="en-CA"/>
        </w:rPr>
      </w:pPr>
      <w:r w:rsidRPr="5C5AB282">
        <w:rPr>
          <w:b/>
          <w:bCs/>
          <w:sz w:val="36"/>
          <w:szCs w:val="36"/>
          <w:lang w:val="en-CA"/>
        </w:rPr>
        <w:t>Guideline: AHS Code Orange Response</w:t>
      </w:r>
    </w:p>
    <w:p w14:paraId="5A65353E" w14:textId="77777777" w:rsidR="000C6769" w:rsidRPr="00D24B91" w:rsidRDefault="5C5AB282" w:rsidP="5C5AB282">
      <w:pPr>
        <w:pBdr>
          <w:bottom w:val="single" w:sz="4" w:space="1" w:color="auto"/>
        </w:pBdr>
        <w:rPr>
          <w:b/>
          <w:bCs/>
          <w:lang w:val="en-CA"/>
        </w:rPr>
      </w:pPr>
      <w:r w:rsidRPr="5C5AB282">
        <w:rPr>
          <w:b/>
          <w:bCs/>
          <w:lang w:val="en-CA"/>
        </w:rPr>
        <w:t>PURPOSE:</w:t>
      </w:r>
    </w:p>
    <w:p w14:paraId="5A65353F" w14:textId="36EA3174" w:rsidR="00D75385" w:rsidRPr="00252F1C" w:rsidRDefault="5C5AB282" w:rsidP="5C5AB282">
      <w:pPr>
        <w:rPr>
          <w:lang w:val="en-CA"/>
        </w:rPr>
      </w:pPr>
      <w:r w:rsidRPr="5C5AB282">
        <w:rPr>
          <w:lang w:val="en-CA"/>
        </w:rPr>
        <w:t xml:space="preserve">The purpose of this guideline is </w:t>
      </w:r>
      <w:proofErr w:type="gramStart"/>
      <w:r w:rsidRPr="5C5AB282">
        <w:rPr>
          <w:lang w:val="en-CA"/>
        </w:rPr>
        <w:t>to</w:t>
      </w:r>
      <w:proofErr w:type="gramEnd"/>
      <w:r w:rsidRPr="5C5AB282">
        <w:rPr>
          <w:lang w:val="en-CA"/>
        </w:rPr>
        <w:t xml:space="preserve"> direct NESA BN Programs faculty and students in the event a Code Orange Response is activated at an AHS facility/site when students are completing a practice experience.</w:t>
      </w:r>
    </w:p>
    <w:p w14:paraId="5A653540" w14:textId="77777777" w:rsidR="00D571C4" w:rsidRPr="00D571C4" w:rsidRDefault="00D571C4" w:rsidP="5C5AB282">
      <w:pPr>
        <w:pBdr>
          <w:bottom w:val="single" w:sz="4" w:space="1" w:color="auto"/>
        </w:pBdr>
        <w:rPr>
          <w:b/>
          <w:bCs/>
          <w:lang w:val="en-CA"/>
        </w:rPr>
      </w:pPr>
      <w:r w:rsidRPr="00D571C4">
        <w:rPr>
          <w:b/>
          <w:noProof/>
        </w:rPr>
        <mc:AlternateContent>
          <mc:Choice Requires="wps">
            <w:drawing>
              <wp:anchor distT="0" distB="0" distL="114300" distR="114300" simplePos="0" relativeHeight="251659264" behindDoc="0" locked="0" layoutInCell="1" allowOverlap="1" wp14:anchorId="5A653560" wp14:editId="5A653561">
                <wp:simplePos x="0" y="0"/>
                <wp:positionH relativeFrom="column">
                  <wp:posOffset>38100</wp:posOffset>
                </wp:positionH>
                <wp:positionV relativeFrom="paragraph">
                  <wp:posOffset>210820</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3pt,16.6pt" to="466.5pt,16.6pt" w14:anchorId="356B2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UbzwEAAAMEAAAOAAAAZHJzL2Uyb0RvYy54bWysU02P0zAQvSPxHyzfadKKX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"/>
            </w:pict>
          </mc:Fallback>
        </mc:AlternateContent>
      </w:r>
      <w:r w:rsidRPr="7AD5E96D">
        <w:rPr>
          <w:b/>
          <w:bCs/>
          <w:lang w:val="en-CA"/>
        </w:rPr>
        <w:t>BACKGROUND:</w:t>
      </w:r>
    </w:p>
    <w:p w14:paraId="5A653541" w14:textId="37ED05B7" w:rsidR="00D571C4" w:rsidRPr="00252F1C" w:rsidRDefault="5C5AB282" w:rsidP="5C5AB282">
      <w:pPr>
        <w:pBdr>
          <w:bottom w:val="single" w:sz="4" w:space="1" w:color="auto"/>
        </w:pBdr>
        <w:rPr>
          <w:lang w:val="en-CA"/>
        </w:rPr>
      </w:pPr>
      <w:r w:rsidRPr="5C5AB282">
        <w:rPr>
          <w:lang w:val="en-CA"/>
        </w:rPr>
        <w:t xml:space="preserve">The NESA BN Programs recognizes the importance of a standardized approach and response to emergencies, and desires to work in partnership with practice agencies to ensure their </w:t>
      </w:r>
      <w:r w:rsidRPr="0006307C">
        <w:rPr>
          <w:lang w:val="en-CA"/>
        </w:rPr>
        <w:t xml:space="preserve">employees (and students) </w:t>
      </w:r>
      <w:proofErr w:type="gramStart"/>
      <w:r w:rsidRPr="0006307C">
        <w:rPr>
          <w:lang w:val="en-CA"/>
        </w:rPr>
        <w:t>are able to</w:t>
      </w:r>
      <w:proofErr w:type="gramEnd"/>
      <w:r w:rsidRPr="0006307C">
        <w:rPr>
          <w:lang w:val="en-CA"/>
        </w:rPr>
        <w:t xml:space="preserve"> respond to emergency staffing needs.</w:t>
      </w:r>
      <w:r w:rsidRPr="5C5AB282">
        <w:rPr>
          <w:lang w:val="en-CA"/>
        </w:rPr>
        <w:t xml:space="preserve">  </w:t>
      </w:r>
    </w:p>
    <w:p w14:paraId="5A653542" w14:textId="77777777" w:rsidR="000F65D8" w:rsidRPr="002F7A57" w:rsidRDefault="5C5AB282" w:rsidP="5C5AB282">
      <w:pPr>
        <w:pBdr>
          <w:bottom w:val="single" w:sz="4" w:space="1" w:color="auto"/>
        </w:pBdr>
        <w:rPr>
          <w:lang w:val="en-CA"/>
        </w:rPr>
      </w:pPr>
      <w:r w:rsidRPr="5C5AB282">
        <w:rPr>
          <w:b/>
          <w:bCs/>
          <w:lang w:val="en-CA"/>
        </w:rPr>
        <w:t>DEFINITIONS:</w:t>
      </w:r>
    </w:p>
    <w:p w14:paraId="5A653543" w14:textId="55F39D60" w:rsidR="000F65D8" w:rsidRPr="00D16ADC" w:rsidRDefault="5C5AB282" w:rsidP="5C5AB282">
      <w:pPr>
        <w:rPr>
          <w:i/>
          <w:iCs/>
          <w:lang w:val="en-CA"/>
        </w:rPr>
      </w:pPr>
      <w:r w:rsidRPr="5C5AB282">
        <w:rPr>
          <w:lang w:val="en-CA"/>
        </w:rPr>
        <w:t>Code Orange:  Mass Casualty Incident</w:t>
      </w:r>
    </w:p>
    <w:p w14:paraId="5A653544" w14:textId="77777777" w:rsidR="000C6769" w:rsidRPr="00D24B91" w:rsidRDefault="5C5AB282" w:rsidP="5C5AB282">
      <w:pPr>
        <w:pBdr>
          <w:bottom w:val="single" w:sz="4" w:space="1" w:color="auto"/>
        </w:pBdr>
        <w:rPr>
          <w:b/>
          <w:bCs/>
          <w:lang w:val="en-CA"/>
        </w:rPr>
      </w:pPr>
      <w:r w:rsidRPr="5C5AB282">
        <w:rPr>
          <w:b/>
          <w:bCs/>
          <w:lang w:val="en-CA"/>
        </w:rPr>
        <w:t>GUIDELINE SCOPE:</w:t>
      </w:r>
    </w:p>
    <w:p w14:paraId="5A653545" w14:textId="479EBB0C" w:rsidR="007C1AA4" w:rsidRPr="006D1F72" w:rsidRDefault="5C5AB282" w:rsidP="5C5AB282">
      <w:pPr>
        <w:rPr>
          <w:lang w:val="en-CA"/>
        </w:rPr>
      </w:pPr>
      <w:r w:rsidRPr="5C5AB282">
        <w:rPr>
          <w:lang w:val="en-CA"/>
        </w:rPr>
        <w:t>This guideline applies to all practice instructors and students of the NESA BN Programs engaged in a practice experience at an AHS facility/site.</w:t>
      </w:r>
    </w:p>
    <w:p w14:paraId="5A653547" w14:textId="77777777" w:rsidR="000C6769" w:rsidRPr="002F7A57" w:rsidRDefault="5C5AB282" w:rsidP="5C5AB282">
      <w:pPr>
        <w:pBdr>
          <w:bottom w:val="single" w:sz="4" w:space="1" w:color="auto"/>
        </w:pBdr>
        <w:rPr>
          <w:b/>
          <w:bCs/>
          <w:lang w:val="en-CA"/>
        </w:rPr>
      </w:pPr>
      <w:r w:rsidRPr="5C5AB282">
        <w:rPr>
          <w:b/>
          <w:bCs/>
          <w:lang w:val="en-CA"/>
        </w:rPr>
        <w:t xml:space="preserve">SPECIFICS OF THE GUIDELINE: </w:t>
      </w:r>
    </w:p>
    <w:p w14:paraId="5A653549" w14:textId="32F70950" w:rsidR="008A4A96" w:rsidRDefault="5C5AB282" w:rsidP="5C5AB282">
      <w:pPr>
        <w:pStyle w:val="ListParagraph"/>
        <w:numPr>
          <w:ilvl w:val="0"/>
          <w:numId w:val="13"/>
        </w:numPr>
        <w:spacing w:after="0" w:line="240" w:lineRule="auto"/>
        <w:rPr>
          <w:lang w:val="en-CA"/>
        </w:rPr>
      </w:pPr>
      <w:r w:rsidRPr="5C5AB282">
        <w:rPr>
          <w:lang w:val="en-CA"/>
        </w:rPr>
        <w:t>Upon activation of the AHS Code Orange Response Plan, the NESA BN Programs practice instructor will meet with members of the clinical group and identify those students who are also employees of AHS.</w:t>
      </w:r>
    </w:p>
    <w:p w14:paraId="2CC23EFC" w14:textId="4F529049" w:rsidR="006D1F72" w:rsidRDefault="5C5AB282" w:rsidP="5C5AB282">
      <w:pPr>
        <w:pStyle w:val="ListParagraph"/>
        <w:numPr>
          <w:ilvl w:val="0"/>
          <w:numId w:val="13"/>
        </w:numPr>
        <w:spacing w:after="0" w:line="240" w:lineRule="auto"/>
        <w:rPr>
          <w:lang w:val="en-CA"/>
        </w:rPr>
      </w:pPr>
      <w:r w:rsidRPr="5C5AB282">
        <w:rPr>
          <w:lang w:val="en-CA"/>
        </w:rPr>
        <w:t>The practice instructor will meet with the AHS Unit Manager, or designate, and determine an action plan for the unit as follows:</w:t>
      </w:r>
    </w:p>
    <w:p w14:paraId="68EFB729" w14:textId="73CFB8F8" w:rsidR="006D1F72" w:rsidRDefault="5C5AB282" w:rsidP="5C5AB282">
      <w:pPr>
        <w:pStyle w:val="ListParagraph"/>
        <w:numPr>
          <w:ilvl w:val="1"/>
          <w:numId w:val="13"/>
        </w:numPr>
        <w:spacing w:after="0" w:line="240" w:lineRule="auto"/>
        <w:rPr>
          <w:lang w:val="en-CA"/>
        </w:rPr>
      </w:pPr>
      <w:r w:rsidRPr="5C5AB282">
        <w:rPr>
          <w:lang w:val="en-CA"/>
        </w:rPr>
        <w:t>NESA BN Programs practice instructor and/or student(s) who are employees of AHS will report to their AHS home unit.  Students who are not AHS employees will be dismissed home.</w:t>
      </w:r>
    </w:p>
    <w:p w14:paraId="6DBFD809" w14:textId="11DFD0BB" w:rsidR="006D1F72" w:rsidRDefault="5C5AB282" w:rsidP="5C5AB282">
      <w:pPr>
        <w:pStyle w:val="ListParagraph"/>
        <w:numPr>
          <w:ilvl w:val="1"/>
          <w:numId w:val="13"/>
        </w:numPr>
        <w:spacing w:after="0" w:line="240" w:lineRule="auto"/>
        <w:rPr>
          <w:lang w:val="en-CA"/>
        </w:rPr>
      </w:pPr>
      <w:r w:rsidRPr="5C5AB282">
        <w:rPr>
          <w:lang w:val="en-CA"/>
        </w:rPr>
        <w:t xml:space="preserve">NESA BN Programs practice instructors who are </w:t>
      </w:r>
      <w:r w:rsidR="00E904DF" w:rsidRPr="5C5AB282">
        <w:rPr>
          <w:lang w:val="en-CA"/>
        </w:rPr>
        <w:t>non-AHS</w:t>
      </w:r>
      <w:r w:rsidRPr="5C5AB282">
        <w:rPr>
          <w:lang w:val="en-CA"/>
        </w:rPr>
        <w:t xml:space="preserve"> employees may remain on the assigned practice unit and continue with the practice experience if, in consultation with the AHS Unit Manager, it is deemed appropriate. </w:t>
      </w:r>
    </w:p>
    <w:p w14:paraId="785192D5" w14:textId="2B7FBF57" w:rsidR="006D1F72" w:rsidRPr="006D1F72" w:rsidRDefault="5C5AB282" w:rsidP="5C5AB282">
      <w:pPr>
        <w:pStyle w:val="ListParagraph"/>
        <w:numPr>
          <w:ilvl w:val="0"/>
          <w:numId w:val="13"/>
        </w:numPr>
        <w:spacing w:after="0" w:line="240" w:lineRule="auto"/>
        <w:rPr>
          <w:lang w:val="en-CA"/>
        </w:rPr>
      </w:pPr>
      <w:r w:rsidRPr="5C5AB282">
        <w:rPr>
          <w:lang w:val="en-CA"/>
        </w:rPr>
        <w:t>The NESA BN Programs practice instructor will notify the appropriate Chair/Assistant Dean or Practice Coordinator of the action decision.</w:t>
      </w:r>
    </w:p>
    <w:p w14:paraId="5A65354A" w14:textId="77777777" w:rsidR="00822159" w:rsidRPr="007C1AA4" w:rsidRDefault="00822159" w:rsidP="00822159">
      <w:pPr>
        <w:spacing w:after="0" w:line="240" w:lineRule="auto"/>
        <w:rPr>
          <w:lang w:val="en-CA"/>
        </w:rPr>
      </w:pPr>
    </w:p>
    <w:p w14:paraId="5A65354B" w14:textId="77777777" w:rsidR="00D75385" w:rsidRPr="007C1AA4" w:rsidRDefault="5C5AB282" w:rsidP="5C5AB282">
      <w:pPr>
        <w:pBdr>
          <w:bottom w:val="single" w:sz="4" w:space="1" w:color="auto"/>
        </w:pBdr>
        <w:rPr>
          <w:b/>
          <w:bCs/>
          <w:lang w:val="en-CA"/>
        </w:rPr>
      </w:pPr>
      <w:r w:rsidRPr="5C5AB282">
        <w:rPr>
          <w:b/>
          <w:bCs/>
          <w:lang w:val="en-CA"/>
        </w:rPr>
        <w:t>APPENDIX:</w:t>
      </w:r>
    </w:p>
    <w:p w14:paraId="5A65354C" w14:textId="28FBFE37" w:rsidR="0060008A" w:rsidRPr="006D1F72" w:rsidRDefault="5C5AB282" w:rsidP="5C5AB282">
      <w:pPr>
        <w:rPr>
          <w:lang w:val="en-CA"/>
        </w:rPr>
      </w:pPr>
      <w:r w:rsidRPr="5C5AB282">
        <w:rPr>
          <w:lang w:val="en-CA"/>
        </w:rPr>
        <w:t xml:space="preserve">Algorithm: </w:t>
      </w:r>
      <w:r w:rsidRPr="5C5AB282">
        <w:rPr>
          <w:i/>
          <w:iCs/>
          <w:lang w:val="en-CA"/>
        </w:rPr>
        <w:t>Decision Tree for AHS Code Orange Response</w:t>
      </w:r>
    </w:p>
    <w:p w14:paraId="5A65354D" w14:textId="77777777" w:rsidR="005F031C" w:rsidRPr="002F7A57" w:rsidRDefault="5C5AB282" w:rsidP="5C5AB282">
      <w:pPr>
        <w:pBdr>
          <w:bottom w:val="single" w:sz="4" w:space="1" w:color="auto"/>
        </w:pBdr>
        <w:rPr>
          <w:lang w:val="en-CA"/>
        </w:rPr>
      </w:pPr>
      <w:r w:rsidRPr="5C5AB282">
        <w:rPr>
          <w:b/>
          <w:bCs/>
          <w:lang w:val="en-CA"/>
        </w:rPr>
        <w:lastRenderedPageBreak/>
        <w:t xml:space="preserve">RELATED POLICIES/ASSOCIATED GUIDELINES: </w:t>
      </w:r>
    </w:p>
    <w:p w14:paraId="5A65354E" w14:textId="7EC2EF8C" w:rsidR="00F82807" w:rsidRDefault="5C5AB282" w:rsidP="5C5AB282">
      <w:pPr>
        <w:spacing w:after="0"/>
        <w:rPr>
          <w:lang w:val="en-CA"/>
        </w:rPr>
      </w:pPr>
      <w:r w:rsidRPr="5C5AB282">
        <w:rPr>
          <w:lang w:val="en-CA"/>
        </w:rPr>
        <w:t xml:space="preserve">Alberta Health Services Emergency Response Codes Policy </w:t>
      </w:r>
    </w:p>
    <w:p w14:paraId="243E229F" w14:textId="1006C1B5" w:rsidR="007B6977" w:rsidRDefault="007B6977" w:rsidP="00822159">
      <w:pPr>
        <w:spacing w:after="0"/>
        <w:rPr>
          <w:i/>
          <w:lang w:val="en-CA"/>
        </w:rPr>
      </w:pPr>
      <w:r w:rsidRPr="007B6977">
        <w:rPr>
          <w:i/>
          <w:lang w:val="en-CA"/>
        </w:rPr>
        <w:t>https://extranet.ahsnet.ca/teams/policydocuments/1/clp-ahs-pol-emergency-response-codes.pdf</w:t>
      </w:r>
    </w:p>
    <w:p w14:paraId="5A65354F" w14:textId="77777777" w:rsidR="008D64D4" w:rsidRPr="008D64D4" w:rsidRDefault="008D64D4" w:rsidP="008D64D4">
      <w:pPr>
        <w:spacing w:after="0"/>
        <w:ind w:left="1134"/>
        <w:rPr>
          <w:i/>
          <w:lang w:val="en-CA"/>
        </w:rPr>
      </w:pPr>
    </w:p>
    <w:p w14:paraId="5A653550" w14:textId="26FC0D84" w:rsidR="00C059F5" w:rsidRPr="008D64D4" w:rsidRDefault="5C5AB282" w:rsidP="5C5AB282">
      <w:pPr>
        <w:pBdr>
          <w:bottom w:val="single" w:sz="4" w:space="1" w:color="auto"/>
        </w:pBdr>
        <w:rPr>
          <w:lang w:val="en-CA"/>
        </w:rPr>
      </w:pPr>
      <w:r w:rsidRPr="5C5AB282">
        <w:rPr>
          <w:b/>
          <w:bCs/>
          <w:lang w:val="en-CA"/>
        </w:rPr>
        <w:t>REFERENCES:</w:t>
      </w:r>
      <w:r w:rsidRPr="5C5AB282">
        <w:rPr>
          <w:lang w:val="en-CA"/>
        </w:rPr>
        <w:t xml:space="preserve">  </w:t>
      </w:r>
    </w:p>
    <w:p w14:paraId="779E5E0C" w14:textId="42065003" w:rsidR="007B6977" w:rsidRDefault="5C5AB282" w:rsidP="5C5AB282">
      <w:pPr>
        <w:spacing w:after="0"/>
        <w:rPr>
          <w:lang w:val="en-CA"/>
        </w:rPr>
      </w:pPr>
      <w:r w:rsidRPr="5C5AB282">
        <w:rPr>
          <w:lang w:val="en-CA"/>
        </w:rPr>
        <w:t>Alberta Health Services. (2010). Emergency Response Codes</w:t>
      </w:r>
      <w:r w:rsidR="00D46676">
        <w:rPr>
          <w:lang w:val="en-CA"/>
        </w:rPr>
        <w:t xml:space="preserve"> </w:t>
      </w:r>
      <w:r w:rsidR="00D46676" w:rsidRPr="000F0C56">
        <w:rPr>
          <w:lang w:val="en-CA"/>
        </w:rPr>
        <w:t>(Rev</w:t>
      </w:r>
      <w:r w:rsidR="00BD65F9" w:rsidRPr="000F0C56">
        <w:rPr>
          <w:lang w:val="en-CA"/>
        </w:rPr>
        <w:t xml:space="preserve">ision date: </w:t>
      </w:r>
      <w:r w:rsidR="00D46676" w:rsidRPr="000F0C56">
        <w:rPr>
          <w:lang w:val="en-CA"/>
        </w:rPr>
        <w:t>Jan 9,2019)</w:t>
      </w:r>
      <w:r w:rsidRPr="000F0C56">
        <w:rPr>
          <w:lang w:val="en-CA"/>
        </w:rPr>
        <w:t xml:space="preserve">.  </w:t>
      </w:r>
      <w:r w:rsidRPr="5C5AB282">
        <w:rPr>
          <w:lang w:val="en-CA"/>
        </w:rPr>
        <w:t xml:space="preserve">Retrieved from    </w:t>
      </w:r>
    </w:p>
    <w:p w14:paraId="2C2190C9" w14:textId="30DA9C4A" w:rsidR="007B6977" w:rsidRDefault="000F0C56" w:rsidP="00C05EC7">
      <w:pPr>
        <w:ind w:firstLine="720"/>
        <w:rPr>
          <w:i/>
          <w:lang w:val="en-CA"/>
        </w:rPr>
      </w:pPr>
      <w:hyperlink r:id="rId8" w:history="1">
        <w:r w:rsidR="00C05EC7" w:rsidRPr="00C05EC7">
          <w:rPr>
            <w:rStyle w:val="Hyperlink"/>
            <w:i/>
            <w:lang w:val="en-CA"/>
          </w:rPr>
          <w:t>https://extranet.ahsnet.ca/teams/policydocuments/1/clp-ahs-pol-emergency-response-codes.pdf</w:t>
        </w:r>
      </w:hyperlink>
    </w:p>
    <w:p w14:paraId="5A653551" w14:textId="1EBC444A" w:rsidR="002F7A57" w:rsidRPr="008D64D4" w:rsidRDefault="5C5AB282" w:rsidP="5C5AB282">
      <w:pPr>
        <w:rPr>
          <w:b/>
          <w:bCs/>
          <w:i/>
          <w:iCs/>
          <w:sz w:val="18"/>
          <w:szCs w:val="18"/>
          <w:lang w:val="en-CA"/>
        </w:rPr>
      </w:pPr>
      <w:r w:rsidRPr="5C5AB282">
        <w:rPr>
          <w:b/>
          <w:bCs/>
          <w:i/>
          <w:iCs/>
          <w:sz w:val="18"/>
          <w:szCs w:val="18"/>
          <w:lang w:val="en-CA"/>
        </w:rPr>
        <w:t xml:space="preserve">NOTE: NESA Guidelines exist within organizational frameworks of policy for Lethbridge College and the University of Lethbridge, and within agreements established with practice partner organizations. </w:t>
      </w:r>
      <w:proofErr w:type="gramStart"/>
      <w:r w:rsidRPr="5C5AB282">
        <w:rPr>
          <w:b/>
          <w:bCs/>
          <w:i/>
          <w:iCs/>
          <w:sz w:val="18"/>
          <w:szCs w:val="18"/>
          <w:lang w:val="en-CA"/>
        </w:rPr>
        <w:t>If and when</w:t>
      </w:r>
      <w:proofErr w:type="gramEnd"/>
      <w:r w:rsidRPr="5C5AB282">
        <w:rPr>
          <w:b/>
          <w:bCs/>
          <w:i/>
          <w:iCs/>
          <w:sz w:val="18"/>
          <w:szCs w:val="18"/>
          <w:lang w:val="en-CA"/>
        </w:rPr>
        <w:t xml:space="preserve"> NESA guidelines are found to differ from such policies and agreements, it is important to note that such policies/agreements will take precedence over NESA guidelines or policies.</w:t>
      </w:r>
    </w:p>
    <w:p w14:paraId="5A653552" w14:textId="77777777" w:rsidR="002F7A57" w:rsidRDefault="002F7A57" w:rsidP="002F7A57">
      <w:pPr>
        <w:rPr>
          <w:i/>
          <w:color w:val="FF0000"/>
          <w:sz w:val="16"/>
          <w:szCs w:val="16"/>
          <w:lang w:val="en-CA"/>
        </w:rPr>
      </w:pPr>
    </w:p>
    <w:p w14:paraId="5A653553" w14:textId="77777777" w:rsidR="002F7A57" w:rsidRPr="002F7A57" w:rsidRDefault="002F7A57" w:rsidP="002F7A57">
      <w:pPr>
        <w:rPr>
          <w:i/>
          <w:color w:val="FF0000"/>
          <w:sz w:val="16"/>
          <w:szCs w:val="16"/>
          <w:lang w:val="en-CA"/>
        </w:rPr>
      </w:pPr>
    </w:p>
    <w:tbl>
      <w:tblPr>
        <w:tblStyle w:val="TableGrid"/>
        <w:tblW w:w="0" w:type="auto"/>
        <w:tblLook w:val="04A0" w:firstRow="1" w:lastRow="0" w:firstColumn="1" w:lastColumn="0" w:noHBand="0" w:noVBand="1"/>
      </w:tblPr>
      <w:tblGrid>
        <w:gridCol w:w="4676"/>
        <w:gridCol w:w="4674"/>
      </w:tblGrid>
      <w:tr w:rsidR="00492D13" w14:paraId="5A653556" w14:textId="77777777" w:rsidTr="5C5AB282">
        <w:tc>
          <w:tcPr>
            <w:tcW w:w="4732" w:type="dxa"/>
          </w:tcPr>
          <w:p w14:paraId="5A653554" w14:textId="77777777" w:rsidR="00492D13" w:rsidRPr="00AD2783" w:rsidRDefault="5C5AB282" w:rsidP="5C5AB282">
            <w:pPr>
              <w:rPr>
                <w:b/>
                <w:bCs/>
                <w:lang w:val="en-CA"/>
              </w:rPr>
            </w:pPr>
            <w:r w:rsidRPr="5C5AB282">
              <w:rPr>
                <w:b/>
                <w:bCs/>
                <w:lang w:val="en-CA"/>
              </w:rPr>
              <w:t>Revised By/date:</w:t>
            </w:r>
          </w:p>
        </w:tc>
        <w:tc>
          <w:tcPr>
            <w:tcW w:w="4732" w:type="dxa"/>
          </w:tcPr>
          <w:p w14:paraId="5A653555" w14:textId="77777777" w:rsidR="00492D13" w:rsidRDefault="5C5AB282" w:rsidP="5C5AB282">
            <w:pPr>
              <w:rPr>
                <w:lang w:val="en-CA"/>
              </w:rPr>
            </w:pPr>
            <w:r w:rsidRPr="5C5AB282">
              <w:rPr>
                <w:b/>
                <w:bCs/>
                <w:lang w:val="en-CA"/>
              </w:rPr>
              <w:t>Approved by/date:</w:t>
            </w:r>
          </w:p>
        </w:tc>
      </w:tr>
      <w:tr w:rsidR="00AD2783" w14:paraId="5A653559" w14:textId="77777777" w:rsidTr="5C5AB282">
        <w:tc>
          <w:tcPr>
            <w:tcW w:w="4732" w:type="dxa"/>
          </w:tcPr>
          <w:p w14:paraId="5A653557" w14:textId="6CC79F94" w:rsidR="00AD2783" w:rsidRPr="006F5E3D" w:rsidRDefault="5C5AB282" w:rsidP="5C5AB282">
            <w:pPr>
              <w:rPr>
                <w:b/>
                <w:bCs/>
                <w:lang w:val="en-CA"/>
              </w:rPr>
            </w:pPr>
            <w:r w:rsidRPr="5C5AB282">
              <w:rPr>
                <w:lang w:val="en-CA"/>
              </w:rPr>
              <w:t>Policy Review Committee: April 2016</w:t>
            </w:r>
          </w:p>
        </w:tc>
        <w:tc>
          <w:tcPr>
            <w:tcW w:w="4732" w:type="dxa"/>
          </w:tcPr>
          <w:p w14:paraId="5A653558" w14:textId="4ED605AB" w:rsidR="00AD2783" w:rsidRDefault="5C5AB282" w:rsidP="5C5AB282">
            <w:pPr>
              <w:rPr>
                <w:b/>
                <w:bCs/>
                <w:lang w:val="en-CA"/>
              </w:rPr>
            </w:pPr>
            <w:r>
              <w:t>NESA Joint Faculty Council: May 2016</w:t>
            </w:r>
          </w:p>
        </w:tc>
      </w:tr>
      <w:tr w:rsidR="00AD2783" w14:paraId="5A65355C" w14:textId="77777777" w:rsidTr="5C5AB282">
        <w:tc>
          <w:tcPr>
            <w:tcW w:w="4732" w:type="dxa"/>
          </w:tcPr>
          <w:p w14:paraId="5A65355A" w14:textId="4141DED6" w:rsidR="00AD2783" w:rsidRPr="008A55F1" w:rsidRDefault="5C5AB282" w:rsidP="5C5AB282">
            <w:pPr>
              <w:rPr>
                <w:lang w:val="en-CA"/>
              </w:rPr>
            </w:pPr>
            <w:r w:rsidRPr="5C5AB282">
              <w:rPr>
                <w:lang w:val="en-CA"/>
              </w:rPr>
              <w:t>Policy Review Committee: March 2017</w:t>
            </w:r>
          </w:p>
        </w:tc>
        <w:tc>
          <w:tcPr>
            <w:tcW w:w="4732" w:type="dxa"/>
          </w:tcPr>
          <w:p w14:paraId="5A65355B" w14:textId="6676EA2C" w:rsidR="00AD2783" w:rsidRPr="008A55F1" w:rsidRDefault="5C5AB282" w:rsidP="5C5AB282">
            <w:pPr>
              <w:rPr>
                <w:lang w:val="en-CA"/>
              </w:rPr>
            </w:pPr>
            <w:r w:rsidRPr="5C5AB282">
              <w:rPr>
                <w:lang w:val="en-CA"/>
              </w:rPr>
              <w:t xml:space="preserve">Not </w:t>
            </w:r>
            <w:r w:rsidR="00744D99">
              <w:rPr>
                <w:lang w:val="en-CA"/>
              </w:rPr>
              <w:t>R</w:t>
            </w:r>
            <w:r w:rsidRPr="5C5AB282">
              <w:rPr>
                <w:lang w:val="en-CA"/>
              </w:rPr>
              <w:t>equired: no change</w:t>
            </w:r>
          </w:p>
        </w:tc>
      </w:tr>
      <w:tr w:rsidR="0006307C" w14:paraId="5995A279" w14:textId="77777777" w:rsidTr="5C5AB282">
        <w:tc>
          <w:tcPr>
            <w:tcW w:w="4732" w:type="dxa"/>
          </w:tcPr>
          <w:p w14:paraId="01190F2C" w14:textId="5C86E89A" w:rsidR="0006307C" w:rsidRPr="5C5AB282" w:rsidRDefault="0006307C" w:rsidP="5C5AB282">
            <w:pPr>
              <w:rPr>
                <w:lang w:val="en-CA"/>
              </w:rPr>
            </w:pPr>
            <w:r>
              <w:rPr>
                <w:lang w:val="en-CA"/>
              </w:rPr>
              <w:t>Policy Review Committee: January 2018</w:t>
            </w:r>
          </w:p>
        </w:tc>
        <w:tc>
          <w:tcPr>
            <w:tcW w:w="4732" w:type="dxa"/>
          </w:tcPr>
          <w:p w14:paraId="3967AE47" w14:textId="6D847107" w:rsidR="0006307C" w:rsidRPr="5C5AB282" w:rsidRDefault="0006307C" w:rsidP="5C5AB282">
            <w:pPr>
              <w:rPr>
                <w:lang w:val="en-CA"/>
              </w:rPr>
            </w:pPr>
            <w:r>
              <w:rPr>
                <w:lang w:val="en-CA"/>
              </w:rPr>
              <w:t>Not Required: editorial change</w:t>
            </w:r>
            <w:r w:rsidR="00BA7132">
              <w:rPr>
                <w:lang w:val="en-CA"/>
              </w:rPr>
              <w:t>s</w:t>
            </w:r>
          </w:p>
        </w:tc>
      </w:tr>
      <w:tr w:rsidR="00172E17" w14:paraId="14CAE280" w14:textId="77777777" w:rsidTr="5C5AB282">
        <w:tc>
          <w:tcPr>
            <w:tcW w:w="4732" w:type="dxa"/>
          </w:tcPr>
          <w:p w14:paraId="64104BA4" w14:textId="466008F0" w:rsidR="00172E17" w:rsidRDefault="00172E17" w:rsidP="5C5AB282">
            <w:pPr>
              <w:rPr>
                <w:lang w:val="en-CA"/>
              </w:rPr>
            </w:pPr>
            <w:r>
              <w:rPr>
                <w:lang w:val="en-CA"/>
              </w:rPr>
              <w:t>Policy Review Committee: January 2019</w:t>
            </w:r>
          </w:p>
        </w:tc>
        <w:tc>
          <w:tcPr>
            <w:tcW w:w="4732" w:type="dxa"/>
          </w:tcPr>
          <w:p w14:paraId="6032B808" w14:textId="51A1F652" w:rsidR="00172E17" w:rsidRDefault="00172E17" w:rsidP="5C5AB282">
            <w:pPr>
              <w:rPr>
                <w:lang w:val="en-CA"/>
              </w:rPr>
            </w:pPr>
            <w:r>
              <w:rPr>
                <w:lang w:val="en-CA"/>
              </w:rPr>
              <w:t xml:space="preserve">Not </w:t>
            </w:r>
            <w:r w:rsidR="00744D99">
              <w:rPr>
                <w:lang w:val="en-CA"/>
              </w:rPr>
              <w:t>R</w:t>
            </w:r>
            <w:r>
              <w:rPr>
                <w:lang w:val="en-CA"/>
              </w:rPr>
              <w:t>equired: no change</w:t>
            </w:r>
          </w:p>
        </w:tc>
      </w:tr>
      <w:tr w:rsidR="00744D99" w14:paraId="17CE00ED" w14:textId="77777777" w:rsidTr="5C5AB282">
        <w:tc>
          <w:tcPr>
            <w:tcW w:w="4732" w:type="dxa"/>
          </w:tcPr>
          <w:p w14:paraId="591985D2" w14:textId="7C223198" w:rsidR="00744D99" w:rsidRDefault="00744D99" w:rsidP="5C5AB282">
            <w:pPr>
              <w:rPr>
                <w:lang w:val="en-CA"/>
              </w:rPr>
            </w:pPr>
            <w:r>
              <w:rPr>
                <w:lang w:val="en-CA"/>
              </w:rPr>
              <w:t>Policy Review Committee: April 2020</w:t>
            </w:r>
          </w:p>
        </w:tc>
        <w:tc>
          <w:tcPr>
            <w:tcW w:w="4732" w:type="dxa"/>
          </w:tcPr>
          <w:p w14:paraId="432FB20A" w14:textId="3091A34D" w:rsidR="00744D99" w:rsidRDefault="00744D99" w:rsidP="5C5AB282">
            <w:pPr>
              <w:rPr>
                <w:lang w:val="en-CA"/>
              </w:rPr>
            </w:pPr>
            <w:r>
              <w:rPr>
                <w:lang w:val="en-CA"/>
              </w:rPr>
              <w:t>Not Required: no change</w:t>
            </w:r>
          </w:p>
        </w:tc>
      </w:tr>
      <w:tr w:rsidR="000F0C56" w14:paraId="15D5C934" w14:textId="77777777" w:rsidTr="5C5AB282">
        <w:tc>
          <w:tcPr>
            <w:tcW w:w="4732" w:type="dxa"/>
          </w:tcPr>
          <w:p w14:paraId="4F90B8CF" w14:textId="40864936" w:rsidR="000F0C56" w:rsidRDefault="000F0C56" w:rsidP="5C5AB282">
            <w:pPr>
              <w:rPr>
                <w:lang w:val="en-CA"/>
              </w:rPr>
            </w:pPr>
            <w:r>
              <w:rPr>
                <w:lang w:val="en-CA"/>
              </w:rPr>
              <w:t>Policy Review Committee: April 2021</w:t>
            </w:r>
          </w:p>
        </w:tc>
        <w:tc>
          <w:tcPr>
            <w:tcW w:w="4732" w:type="dxa"/>
          </w:tcPr>
          <w:p w14:paraId="7E0EB8D5" w14:textId="5B9A1F1D" w:rsidR="000F0C56" w:rsidRDefault="000F0C56" w:rsidP="5C5AB282">
            <w:pPr>
              <w:rPr>
                <w:lang w:val="en-CA"/>
              </w:rPr>
            </w:pPr>
            <w:r>
              <w:rPr>
                <w:lang w:val="en-CA"/>
              </w:rPr>
              <w:t>Not Required: no change</w:t>
            </w:r>
          </w:p>
        </w:tc>
      </w:tr>
    </w:tbl>
    <w:p w14:paraId="5A65355D" w14:textId="77777777" w:rsidR="00FA5EC6" w:rsidRPr="00FA5EC6" w:rsidRDefault="00FA5EC6" w:rsidP="00FA5EC6">
      <w:pPr>
        <w:rPr>
          <w:lang w:val="en-CA"/>
        </w:rPr>
      </w:pPr>
    </w:p>
    <w:sectPr w:rsidR="00FA5EC6" w:rsidRPr="00FA5EC6" w:rsidSect="00101B3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39CE" w14:textId="77777777" w:rsidR="00A101B4" w:rsidRDefault="00A101B4" w:rsidP="00BC28E4">
      <w:pPr>
        <w:spacing w:after="0" w:line="240" w:lineRule="auto"/>
      </w:pPr>
      <w:r>
        <w:separator/>
      </w:r>
    </w:p>
  </w:endnote>
  <w:endnote w:type="continuationSeparator" w:id="0">
    <w:p w14:paraId="2156B1A5" w14:textId="77777777" w:rsidR="00A101B4" w:rsidRDefault="00A101B4"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5A653568" w14:textId="77777777" w:rsidR="00BC28E4" w:rsidRDefault="00342EE4">
        <w:pPr>
          <w:pStyle w:val="Footer"/>
          <w:jc w:val="center"/>
        </w:pPr>
        <w:r>
          <w:fldChar w:fldCharType="begin"/>
        </w:r>
        <w:r w:rsidR="00BC28E4">
          <w:instrText xml:space="preserve"> PAGE   \* MERGEFORMAT </w:instrText>
        </w:r>
        <w:r>
          <w:fldChar w:fldCharType="separate"/>
        </w:r>
        <w:r w:rsidR="000908D7">
          <w:rPr>
            <w:noProof/>
          </w:rPr>
          <w:t>2</w:t>
        </w:r>
        <w:r>
          <w:rPr>
            <w:noProof/>
          </w:rPr>
          <w:fldChar w:fldCharType="end"/>
        </w:r>
      </w:p>
    </w:sdtContent>
  </w:sdt>
  <w:p w14:paraId="5A653569"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C850" w14:textId="77777777" w:rsidR="00A101B4" w:rsidRDefault="00A101B4" w:rsidP="00BC28E4">
      <w:pPr>
        <w:spacing w:after="0" w:line="240" w:lineRule="auto"/>
      </w:pPr>
      <w:r>
        <w:separator/>
      </w:r>
    </w:p>
  </w:footnote>
  <w:footnote w:type="continuationSeparator" w:id="0">
    <w:p w14:paraId="0DC29E53" w14:textId="77777777" w:rsidR="00A101B4" w:rsidRDefault="00A101B4"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3566" w14:textId="77777777" w:rsidR="00BC28E4" w:rsidRDefault="00BC28E4">
    <w:pPr>
      <w:pStyle w:val="Header"/>
    </w:pPr>
  </w:p>
  <w:p w14:paraId="5A653567"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E08"/>
    <w:multiLevelType w:val="hybridMultilevel"/>
    <w:tmpl w:val="945C19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7"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2"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2"/>
  </w:num>
  <w:num w:numId="4">
    <w:abstractNumId w:val="11"/>
  </w:num>
  <w:num w:numId="5">
    <w:abstractNumId w:val="5"/>
  </w:num>
  <w:num w:numId="6">
    <w:abstractNumId w:val="10"/>
  </w:num>
  <w:num w:numId="7">
    <w:abstractNumId w:val="6"/>
  </w:num>
  <w:num w:numId="8">
    <w:abstractNumId w:val="12"/>
  </w:num>
  <w:num w:numId="9">
    <w:abstractNumId w:val="4"/>
  </w:num>
  <w:num w:numId="10">
    <w:abstractNumId w:val="1"/>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6307C"/>
    <w:rsid w:val="000908D7"/>
    <w:rsid w:val="00097A2F"/>
    <w:rsid w:val="000C6769"/>
    <w:rsid w:val="000F0C56"/>
    <w:rsid w:val="000F35BD"/>
    <w:rsid w:val="000F65D8"/>
    <w:rsid w:val="00101B3A"/>
    <w:rsid w:val="00172E17"/>
    <w:rsid w:val="001C43EB"/>
    <w:rsid w:val="00252F1C"/>
    <w:rsid w:val="002866C1"/>
    <w:rsid w:val="00292C54"/>
    <w:rsid w:val="002A32B3"/>
    <w:rsid w:val="002F7A57"/>
    <w:rsid w:val="00306645"/>
    <w:rsid w:val="00341F58"/>
    <w:rsid w:val="00342EE4"/>
    <w:rsid w:val="003E6D07"/>
    <w:rsid w:val="00423983"/>
    <w:rsid w:val="00442B53"/>
    <w:rsid w:val="004467D5"/>
    <w:rsid w:val="00450803"/>
    <w:rsid w:val="00492D13"/>
    <w:rsid w:val="004B727D"/>
    <w:rsid w:val="004F0AB8"/>
    <w:rsid w:val="004F40E5"/>
    <w:rsid w:val="00511526"/>
    <w:rsid w:val="005420F6"/>
    <w:rsid w:val="005660E9"/>
    <w:rsid w:val="005D303A"/>
    <w:rsid w:val="005D3D1B"/>
    <w:rsid w:val="005F031C"/>
    <w:rsid w:val="0060008A"/>
    <w:rsid w:val="0063784F"/>
    <w:rsid w:val="006A5ABF"/>
    <w:rsid w:val="006D1F72"/>
    <w:rsid w:val="006D46B6"/>
    <w:rsid w:val="006E78F6"/>
    <w:rsid w:val="006F5E3D"/>
    <w:rsid w:val="007150B6"/>
    <w:rsid w:val="00715CBE"/>
    <w:rsid w:val="00725527"/>
    <w:rsid w:val="00744D99"/>
    <w:rsid w:val="00756911"/>
    <w:rsid w:val="007747CA"/>
    <w:rsid w:val="007B6977"/>
    <w:rsid w:val="007C1AA4"/>
    <w:rsid w:val="007C4482"/>
    <w:rsid w:val="00822159"/>
    <w:rsid w:val="00833FB7"/>
    <w:rsid w:val="00894084"/>
    <w:rsid w:val="008A4A96"/>
    <w:rsid w:val="008A55F1"/>
    <w:rsid w:val="008D64D4"/>
    <w:rsid w:val="0093528D"/>
    <w:rsid w:val="00963D43"/>
    <w:rsid w:val="00993AC4"/>
    <w:rsid w:val="009A48CF"/>
    <w:rsid w:val="009F4395"/>
    <w:rsid w:val="009F6E6F"/>
    <w:rsid w:val="00A101B4"/>
    <w:rsid w:val="00A97C17"/>
    <w:rsid w:val="00AD2783"/>
    <w:rsid w:val="00AE618C"/>
    <w:rsid w:val="00AE6E18"/>
    <w:rsid w:val="00B02373"/>
    <w:rsid w:val="00B12B60"/>
    <w:rsid w:val="00B55C8F"/>
    <w:rsid w:val="00B70515"/>
    <w:rsid w:val="00B76361"/>
    <w:rsid w:val="00BA7132"/>
    <w:rsid w:val="00BB23AC"/>
    <w:rsid w:val="00BC28E4"/>
    <w:rsid w:val="00BD65F9"/>
    <w:rsid w:val="00BF5C36"/>
    <w:rsid w:val="00C059F5"/>
    <w:rsid w:val="00C05EC7"/>
    <w:rsid w:val="00C27104"/>
    <w:rsid w:val="00C357E6"/>
    <w:rsid w:val="00C71DD2"/>
    <w:rsid w:val="00CC1D04"/>
    <w:rsid w:val="00D132AD"/>
    <w:rsid w:val="00D16ADC"/>
    <w:rsid w:val="00D24B91"/>
    <w:rsid w:val="00D371B3"/>
    <w:rsid w:val="00D46676"/>
    <w:rsid w:val="00D546C2"/>
    <w:rsid w:val="00D571C4"/>
    <w:rsid w:val="00D75385"/>
    <w:rsid w:val="00D76737"/>
    <w:rsid w:val="00D84246"/>
    <w:rsid w:val="00E02380"/>
    <w:rsid w:val="00E904DF"/>
    <w:rsid w:val="00EB1109"/>
    <w:rsid w:val="00EF7490"/>
    <w:rsid w:val="00F82807"/>
    <w:rsid w:val="00FA5EC6"/>
    <w:rsid w:val="00FA748C"/>
    <w:rsid w:val="1BD859F9"/>
    <w:rsid w:val="28166096"/>
    <w:rsid w:val="5C5AB282"/>
    <w:rsid w:val="709200BF"/>
    <w:rsid w:val="7AD5E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353C"/>
  <w15:docId w15:val="{7A132381-0D58-4635-9859-7306BFC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ahsnet.ca/teams/policydocuments/1/clp-ahs-pol-emergency-response-code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Spenceley, Shannon</dc:creator>
  <cp:lastModifiedBy>Marthiensen, Bob</cp:lastModifiedBy>
  <cp:revision>2</cp:revision>
  <cp:lastPrinted>2017-03-15T17:41:00Z</cp:lastPrinted>
  <dcterms:created xsi:type="dcterms:W3CDTF">2021-06-14T22:13:00Z</dcterms:created>
  <dcterms:modified xsi:type="dcterms:W3CDTF">2021-06-14T22:13:00Z</dcterms:modified>
</cp:coreProperties>
</file>