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6B" w:rsidRDefault="000A3B6B" w:rsidP="000A3B6B">
      <w:pPr>
        <w:rPr>
          <w:b/>
          <w:sz w:val="28"/>
          <w:szCs w:val="28"/>
        </w:rPr>
      </w:pPr>
      <w:r>
        <w:rPr>
          <w:b/>
          <w:sz w:val="28"/>
          <w:szCs w:val="28"/>
        </w:rPr>
        <w:t>2015-2016</w:t>
      </w:r>
      <w:r w:rsidRPr="005701D0">
        <w:rPr>
          <w:b/>
          <w:sz w:val="28"/>
          <w:szCs w:val="28"/>
        </w:rPr>
        <w:t xml:space="preserve"> Research Support Fund Outcomes</w:t>
      </w:r>
    </w:p>
    <w:p w:rsidR="000A3B6B" w:rsidRDefault="000A3B6B" w:rsidP="000A3B6B">
      <w:r>
        <w:t>The University of Lethbridge received $2,009,410 in federal Research Support (RSF) Funding in 2015-2016.</w:t>
      </w:r>
    </w:p>
    <w:p w:rsidR="000A3B6B" w:rsidRDefault="000A3B6B" w:rsidP="000A3B6B">
      <w:r>
        <w:t>The following chart provides an overview of how the funds were allocated under each of the five expenditure categories:</w:t>
      </w:r>
    </w:p>
    <w:p w:rsidR="000A3B6B" w:rsidRDefault="000A3B6B" w:rsidP="000A3B6B">
      <w:pPr>
        <w:jc w:val="center"/>
      </w:pPr>
      <w:r>
        <w:rPr>
          <w:noProof/>
          <w:lang w:val="en-US"/>
        </w:rPr>
        <w:drawing>
          <wp:inline distT="0" distB="0" distL="0" distR="0" wp14:anchorId="4450FD5D">
            <wp:extent cx="4323600" cy="326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3600" cy="3265200"/>
                    </a:xfrm>
                    <a:prstGeom prst="rect">
                      <a:avLst/>
                    </a:prstGeom>
                    <a:noFill/>
                  </pic:spPr>
                </pic:pic>
              </a:graphicData>
            </a:graphic>
          </wp:inline>
        </w:drawing>
      </w:r>
    </w:p>
    <w:p w:rsidR="00850C09" w:rsidRDefault="00850C09" w:rsidP="00850C09">
      <w:pPr>
        <w:rPr>
          <w:sz w:val="20"/>
          <w:szCs w:val="20"/>
        </w:rPr>
      </w:pPr>
      <w:r>
        <w:rPr>
          <w:sz w:val="20"/>
          <w:szCs w:val="20"/>
        </w:rPr>
        <w:t>In 2015/16 the University of Lethbridge invested the Research Support Fund in:</w:t>
      </w:r>
    </w:p>
    <w:p w:rsidR="00850C09" w:rsidRDefault="00850C09" w:rsidP="00850C09">
      <w:pPr>
        <w:rPr>
          <w:sz w:val="20"/>
          <w:szCs w:val="20"/>
        </w:rPr>
      </w:pPr>
      <w:r w:rsidRPr="001E4510">
        <w:rPr>
          <w:b/>
          <w:sz w:val="20"/>
          <w:szCs w:val="20"/>
        </w:rPr>
        <w:t>Facilit</w:t>
      </w:r>
      <w:r>
        <w:rPr>
          <w:b/>
          <w:sz w:val="20"/>
          <w:szCs w:val="20"/>
        </w:rPr>
        <w:t>i</w:t>
      </w:r>
      <w:r w:rsidRPr="001E4510">
        <w:rPr>
          <w:b/>
          <w:sz w:val="20"/>
          <w:szCs w:val="20"/>
        </w:rPr>
        <w:t>es:</w:t>
      </w:r>
      <w:r>
        <w:rPr>
          <w:sz w:val="20"/>
          <w:szCs w:val="20"/>
        </w:rPr>
        <w:t xml:space="preserve"> The funding was used for technician compensation used to support the research facilities and for facilities management to defray the cost of heat, lighting and electricity for</w:t>
      </w:r>
      <w:bookmarkStart w:id="0" w:name="_GoBack"/>
      <w:bookmarkEnd w:id="0"/>
      <w:r>
        <w:rPr>
          <w:sz w:val="20"/>
          <w:szCs w:val="20"/>
        </w:rPr>
        <w:t xml:space="preserve"> the research space.</w:t>
      </w:r>
    </w:p>
    <w:p w:rsidR="00850C09" w:rsidRDefault="00850C09" w:rsidP="00850C09">
      <w:pPr>
        <w:rPr>
          <w:sz w:val="20"/>
          <w:szCs w:val="20"/>
        </w:rPr>
      </w:pPr>
      <w:r w:rsidRPr="001E4510">
        <w:rPr>
          <w:b/>
          <w:sz w:val="20"/>
          <w:szCs w:val="20"/>
        </w:rPr>
        <w:t>Resources</w:t>
      </w:r>
      <w:r>
        <w:rPr>
          <w:sz w:val="20"/>
          <w:szCs w:val="20"/>
        </w:rPr>
        <w:t>: The funding was used to partially fund the cost of electronic journals and databases required by faculty and students and a small portion of the costs associated with insuring research equipment.</w:t>
      </w:r>
    </w:p>
    <w:p w:rsidR="00850C09" w:rsidRDefault="00850C09" w:rsidP="00850C09">
      <w:pPr>
        <w:rPr>
          <w:sz w:val="20"/>
          <w:szCs w:val="20"/>
        </w:rPr>
      </w:pPr>
      <w:r w:rsidRPr="001E4510">
        <w:rPr>
          <w:b/>
          <w:sz w:val="20"/>
          <w:szCs w:val="20"/>
        </w:rPr>
        <w:t>Management and Administration</w:t>
      </w:r>
      <w:r>
        <w:rPr>
          <w:sz w:val="20"/>
          <w:szCs w:val="20"/>
        </w:rPr>
        <w:t>: The indirect cost program is critical in maintaining the support infrastructure required for the research enterprise. The staff support the researchers in all aspects of research administration including grant applications, grant administration, reporting and knowledge requirement compliance requirements. This investment has been instrumental in the success rate of grant applications.</w:t>
      </w:r>
    </w:p>
    <w:p w:rsidR="00850C09" w:rsidRDefault="00850C09" w:rsidP="00850C09">
      <w:pPr>
        <w:rPr>
          <w:sz w:val="20"/>
          <w:szCs w:val="20"/>
        </w:rPr>
      </w:pPr>
      <w:r w:rsidRPr="008020AF">
        <w:rPr>
          <w:b/>
          <w:sz w:val="20"/>
          <w:szCs w:val="20"/>
        </w:rPr>
        <w:t>Regulatory requirements</w:t>
      </w:r>
      <w:r>
        <w:rPr>
          <w:sz w:val="20"/>
          <w:szCs w:val="20"/>
        </w:rPr>
        <w:t>: This area of support has increased significantly over the past few years. There has been a significant investment in animal care and safety training.</w:t>
      </w:r>
    </w:p>
    <w:p w:rsidR="00850C09" w:rsidRDefault="00850C09" w:rsidP="00850C09">
      <w:pPr>
        <w:rPr>
          <w:sz w:val="20"/>
          <w:szCs w:val="20"/>
        </w:rPr>
      </w:pPr>
      <w:r w:rsidRPr="008020AF">
        <w:rPr>
          <w:b/>
          <w:sz w:val="20"/>
          <w:szCs w:val="20"/>
        </w:rPr>
        <w:t>Intellectual property and commercialization</w:t>
      </w:r>
      <w:r>
        <w:rPr>
          <w:sz w:val="20"/>
          <w:szCs w:val="20"/>
        </w:rPr>
        <w:t>: This funding was used to fund a positon that supports these commercial activities.</w:t>
      </w:r>
    </w:p>
    <w:p w:rsidR="00850C09" w:rsidRDefault="00850C09">
      <w:pPr>
        <w:rPr>
          <w:b/>
          <w:sz w:val="20"/>
          <w:szCs w:val="20"/>
        </w:rPr>
      </w:pPr>
      <w:r>
        <w:rPr>
          <w:b/>
          <w:sz w:val="20"/>
          <w:szCs w:val="20"/>
        </w:rPr>
        <w:br w:type="page"/>
      </w:r>
    </w:p>
    <w:p w:rsidR="009D62BF" w:rsidRPr="00850C09" w:rsidRDefault="00850C09">
      <w:pPr>
        <w:rPr>
          <w:b/>
          <w:sz w:val="24"/>
          <w:szCs w:val="24"/>
        </w:rPr>
      </w:pPr>
      <w:r w:rsidRPr="00850C09">
        <w:rPr>
          <w:b/>
          <w:sz w:val="24"/>
          <w:szCs w:val="24"/>
        </w:rPr>
        <w:lastRenderedPageBreak/>
        <w:t xml:space="preserve">2015-2016 </w:t>
      </w:r>
      <w:r w:rsidR="009D62BF" w:rsidRPr="00850C09">
        <w:rPr>
          <w:b/>
          <w:sz w:val="24"/>
          <w:szCs w:val="24"/>
        </w:rPr>
        <w:t>Performance Measures for Eligible Expenditure Areas</w:t>
      </w:r>
    </w:p>
    <w:tbl>
      <w:tblPr>
        <w:tblStyle w:val="GridTable4-Accent5"/>
        <w:tblW w:w="0" w:type="auto"/>
        <w:tblLayout w:type="fixed"/>
        <w:tblLook w:val="04A0" w:firstRow="1" w:lastRow="0" w:firstColumn="1" w:lastColumn="0" w:noHBand="0" w:noVBand="1"/>
      </w:tblPr>
      <w:tblGrid>
        <w:gridCol w:w="2263"/>
        <w:gridCol w:w="2184"/>
        <w:gridCol w:w="1582"/>
        <w:gridCol w:w="1657"/>
        <w:gridCol w:w="1948"/>
      </w:tblGrid>
      <w:tr w:rsidR="009D62BF" w:rsidTr="00850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D62BF" w:rsidRDefault="005D108F">
            <w:pPr>
              <w:rPr>
                <w:b w:val="0"/>
                <w:sz w:val="20"/>
                <w:szCs w:val="20"/>
              </w:rPr>
            </w:pPr>
            <w:r>
              <w:rPr>
                <w:sz w:val="20"/>
                <w:szCs w:val="20"/>
              </w:rPr>
              <w:t xml:space="preserve">Eligible </w:t>
            </w:r>
            <w:r w:rsidR="009D62BF">
              <w:rPr>
                <w:sz w:val="20"/>
                <w:szCs w:val="20"/>
              </w:rPr>
              <w:t>Expenditure Category</w:t>
            </w:r>
          </w:p>
        </w:tc>
        <w:tc>
          <w:tcPr>
            <w:tcW w:w="2184" w:type="dxa"/>
          </w:tcPr>
          <w:p w:rsidR="009D62BF" w:rsidRDefault="009D62BF">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Institutional performance objectives</w:t>
            </w:r>
          </w:p>
        </w:tc>
        <w:tc>
          <w:tcPr>
            <w:tcW w:w="1582" w:type="dxa"/>
          </w:tcPr>
          <w:p w:rsidR="009D62BF" w:rsidRDefault="009D62BF">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Indicator</w:t>
            </w:r>
          </w:p>
        </w:tc>
        <w:tc>
          <w:tcPr>
            <w:tcW w:w="1657" w:type="dxa"/>
          </w:tcPr>
          <w:p w:rsidR="009D62BF" w:rsidRDefault="009A3F82">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Output</w:t>
            </w:r>
          </w:p>
        </w:tc>
        <w:tc>
          <w:tcPr>
            <w:tcW w:w="1948" w:type="dxa"/>
          </w:tcPr>
          <w:p w:rsidR="009D62BF" w:rsidRDefault="009D62BF">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Outcomes reported at year end</w:t>
            </w:r>
          </w:p>
        </w:tc>
      </w:tr>
      <w:tr w:rsidR="009D62BF" w:rsidTr="008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9D62BF" w:rsidRDefault="009D62BF">
            <w:pPr>
              <w:rPr>
                <w:sz w:val="20"/>
                <w:szCs w:val="20"/>
              </w:rPr>
            </w:pPr>
            <w:r w:rsidRPr="009D62BF">
              <w:rPr>
                <w:sz w:val="20"/>
                <w:szCs w:val="20"/>
              </w:rPr>
              <w:t>Research facilities</w:t>
            </w:r>
          </w:p>
          <w:p w:rsidR="001E4510" w:rsidRDefault="001E4510">
            <w:pPr>
              <w:rPr>
                <w:sz w:val="20"/>
                <w:szCs w:val="20"/>
              </w:rPr>
            </w:pPr>
            <w:r>
              <w:rPr>
                <w:sz w:val="20"/>
                <w:szCs w:val="20"/>
              </w:rPr>
              <w:t>Link:</w:t>
            </w:r>
          </w:p>
          <w:p w:rsidR="001E4510" w:rsidRDefault="0030372E">
            <w:pPr>
              <w:rPr>
                <w:sz w:val="20"/>
                <w:szCs w:val="20"/>
              </w:rPr>
            </w:pPr>
            <w:hyperlink r:id="rId6" w:anchor="facilities" w:history="1">
              <w:r w:rsidR="001E4510" w:rsidRPr="008C2283">
                <w:rPr>
                  <w:rStyle w:val="Hyperlink"/>
                  <w:sz w:val="20"/>
                  <w:szCs w:val="20"/>
                </w:rPr>
                <w:t>http://www.rsf-fsr.gc.ca/administer-administrer/expenditures-depenses-eng.aspx#facilities</w:t>
              </w:r>
            </w:hyperlink>
          </w:p>
          <w:p w:rsidR="001E4510" w:rsidRPr="009D62BF" w:rsidRDefault="001E4510">
            <w:pPr>
              <w:rPr>
                <w:sz w:val="20"/>
                <w:szCs w:val="20"/>
              </w:rPr>
            </w:pPr>
          </w:p>
        </w:tc>
        <w:tc>
          <w:tcPr>
            <w:tcW w:w="2184" w:type="dxa"/>
          </w:tcPr>
          <w:p w:rsidR="009D62BF" w:rsidRPr="009D62BF" w:rsidRDefault="0018017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 research capacity by renovating and/or maintaining new and existing research facilities</w:t>
            </w:r>
          </w:p>
        </w:tc>
        <w:tc>
          <w:tcPr>
            <w:tcW w:w="1582" w:type="dxa"/>
          </w:tcPr>
          <w:p w:rsidR="009D62BF" w:rsidRPr="009D62BF" w:rsidRDefault="006314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Equipment and facilities that support research.</w:t>
            </w:r>
          </w:p>
        </w:tc>
        <w:tc>
          <w:tcPr>
            <w:tcW w:w="1657" w:type="dxa"/>
          </w:tcPr>
          <w:p w:rsidR="009D62BF" w:rsidRPr="009D62BF" w:rsidRDefault="0063144E" w:rsidP="0063144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RSF will fund technical support required for maintaining the research facilities and operating costs for the research equipment.</w:t>
            </w:r>
          </w:p>
        </w:tc>
        <w:tc>
          <w:tcPr>
            <w:tcW w:w="1948" w:type="dxa"/>
          </w:tcPr>
          <w:p w:rsidR="009D62BF" w:rsidRPr="009D62BF" w:rsidRDefault="0099644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space devoted to research in 2015/16 </w:t>
            </w:r>
            <w:r w:rsidR="006803E8">
              <w:rPr>
                <w:sz w:val="20"/>
                <w:szCs w:val="20"/>
              </w:rPr>
              <w:t xml:space="preserve">is equivalent to 2014/15. </w:t>
            </w:r>
          </w:p>
        </w:tc>
      </w:tr>
      <w:tr w:rsidR="009D62BF" w:rsidTr="00850C09">
        <w:tc>
          <w:tcPr>
            <w:cnfStyle w:val="001000000000" w:firstRow="0" w:lastRow="0" w:firstColumn="1" w:lastColumn="0" w:oddVBand="0" w:evenVBand="0" w:oddHBand="0" w:evenHBand="0" w:firstRowFirstColumn="0" w:firstRowLastColumn="0" w:lastRowFirstColumn="0" w:lastRowLastColumn="0"/>
            <w:tcW w:w="2263" w:type="dxa"/>
          </w:tcPr>
          <w:p w:rsidR="009D62BF" w:rsidRDefault="009D62BF">
            <w:pPr>
              <w:rPr>
                <w:sz w:val="20"/>
                <w:szCs w:val="20"/>
              </w:rPr>
            </w:pPr>
            <w:r w:rsidRPr="009D62BF">
              <w:rPr>
                <w:sz w:val="20"/>
                <w:szCs w:val="20"/>
              </w:rPr>
              <w:t>Research resources</w:t>
            </w:r>
          </w:p>
          <w:p w:rsidR="001E4510" w:rsidRDefault="001E4510">
            <w:pPr>
              <w:rPr>
                <w:sz w:val="20"/>
                <w:szCs w:val="20"/>
              </w:rPr>
            </w:pPr>
            <w:r>
              <w:rPr>
                <w:sz w:val="20"/>
                <w:szCs w:val="20"/>
              </w:rPr>
              <w:t>Link:</w:t>
            </w:r>
          </w:p>
          <w:p w:rsidR="001E4510" w:rsidRDefault="0030372E">
            <w:pPr>
              <w:rPr>
                <w:sz w:val="20"/>
                <w:szCs w:val="20"/>
              </w:rPr>
            </w:pPr>
            <w:hyperlink r:id="rId7" w:anchor="resources" w:history="1">
              <w:r w:rsidR="001E4510" w:rsidRPr="008C2283">
                <w:rPr>
                  <w:rStyle w:val="Hyperlink"/>
                  <w:sz w:val="20"/>
                  <w:szCs w:val="20"/>
                </w:rPr>
                <w:t>http://www.rsf-fsr.gc.ca/administer-administrer/expenditures-depenses-eng.aspx#resources</w:t>
              </w:r>
            </w:hyperlink>
          </w:p>
          <w:p w:rsidR="001E4510" w:rsidRPr="009D62BF" w:rsidRDefault="001E4510">
            <w:pPr>
              <w:rPr>
                <w:sz w:val="20"/>
                <w:szCs w:val="20"/>
              </w:rPr>
            </w:pPr>
          </w:p>
        </w:tc>
        <w:tc>
          <w:tcPr>
            <w:tcW w:w="2184" w:type="dxa"/>
          </w:tcPr>
          <w:p w:rsidR="009D62BF" w:rsidRPr="009D62BF" w:rsidRDefault="009D62BF">
            <w:pPr>
              <w:cnfStyle w:val="000000000000" w:firstRow="0" w:lastRow="0" w:firstColumn="0" w:lastColumn="0" w:oddVBand="0" w:evenVBand="0" w:oddHBand="0" w:evenHBand="0" w:firstRowFirstColumn="0" w:firstRowLastColumn="0" w:lastRowFirstColumn="0" w:lastRowLastColumn="0"/>
              <w:rPr>
                <w:sz w:val="20"/>
                <w:szCs w:val="20"/>
              </w:rPr>
            </w:pPr>
            <w:r w:rsidRPr="009D62BF">
              <w:rPr>
                <w:sz w:val="20"/>
                <w:szCs w:val="20"/>
              </w:rPr>
              <w:t>Maintain library holdings needed by researchers</w:t>
            </w:r>
          </w:p>
        </w:tc>
        <w:tc>
          <w:tcPr>
            <w:tcW w:w="1582" w:type="dxa"/>
          </w:tcPr>
          <w:p w:rsidR="009D62BF" w:rsidRPr="009D62BF" w:rsidRDefault="009D62BF">
            <w:pPr>
              <w:cnfStyle w:val="000000000000" w:firstRow="0" w:lastRow="0" w:firstColumn="0" w:lastColumn="0" w:oddVBand="0" w:evenVBand="0" w:oddHBand="0" w:evenHBand="0" w:firstRowFirstColumn="0" w:firstRowLastColumn="0" w:lastRowFirstColumn="0" w:lastRowLastColumn="0"/>
              <w:rPr>
                <w:sz w:val="20"/>
                <w:szCs w:val="20"/>
              </w:rPr>
            </w:pPr>
            <w:r w:rsidRPr="009D62BF">
              <w:rPr>
                <w:sz w:val="20"/>
                <w:szCs w:val="20"/>
              </w:rPr>
              <w:t>Dollars spent on electronic databases through the university budget</w:t>
            </w:r>
          </w:p>
        </w:tc>
        <w:tc>
          <w:tcPr>
            <w:tcW w:w="1657" w:type="dxa"/>
          </w:tcPr>
          <w:p w:rsidR="009D62BF" w:rsidRPr="009D62BF" w:rsidRDefault="009D62B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Database for use by researchers</w:t>
            </w:r>
          </w:p>
        </w:tc>
        <w:tc>
          <w:tcPr>
            <w:tcW w:w="1948" w:type="dxa"/>
          </w:tcPr>
          <w:p w:rsidR="009D62BF" w:rsidRPr="009D62BF" w:rsidRDefault="006803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Research Support Fund covers approximately 20% of the cost associated with the site license to the </w:t>
            </w:r>
            <w:r w:rsidR="009D62BF">
              <w:rPr>
                <w:sz w:val="20"/>
                <w:szCs w:val="20"/>
              </w:rPr>
              <w:t>C</w:t>
            </w:r>
            <w:r w:rsidR="00180172">
              <w:rPr>
                <w:sz w:val="20"/>
                <w:szCs w:val="20"/>
              </w:rPr>
              <w:t xml:space="preserve">anadian </w:t>
            </w:r>
            <w:r w:rsidR="009D62BF">
              <w:rPr>
                <w:sz w:val="20"/>
                <w:szCs w:val="20"/>
              </w:rPr>
              <w:t>R</w:t>
            </w:r>
            <w:r w:rsidR="00180172">
              <w:rPr>
                <w:sz w:val="20"/>
                <w:szCs w:val="20"/>
              </w:rPr>
              <w:t xml:space="preserve">esearch </w:t>
            </w:r>
            <w:r w:rsidR="009D62BF">
              <w:rPr>
                <w:sz w:val="20"/>
                <w:szCs w:val="20"/>
              </w:rPr>
              <w:t>K</w:t>
            </w:r>
            <w:r w:rsidR="00180172">
              <w:rPr>
                <w:sz w:val="20"/>
                <w:szCs w:val="20"/>
              </w:rPr>
              <w:t xml:space="preserve">nowledge </w:t>
            </w:r>
            <w:r w:rsidR="009D62BF">
              <w:rPr>
                <w:sz w:val="20"/>
                <w:szCs w:val="20"/>
              </w:rPr>
              <w:t>N</w:t>
            </w:r>
            <w:r w:rsidR="00180172">
              <w:rPr>
                <w:sz w:val="20"/>
                <w:szCs w:val="20"/>
              </w:rPr>
              <w:t>etwork</w:t>
            </w:r>
            <w:r>
              <w:rPr>
                <w:sz w:val="20"/>
                <w:szCs w:val="20"/>
              </w:rPr>
              <w:t>.</w:t>
            </w:r>
          </w:p>
        </w:tc>
      </w:tr>
      <w:tr w:rsidR="00850C09" w:rsidTr="008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50C09" w:rsidRDefault="00850C09" w:rsidP="00850C09">
            <w:pPr>
              <w:rPr>
                <w:sz w:val="20"/>
                <w:szCs w:val="20"/>
              </w:rPr>
            </w:pPr>
            <w:r>
              <w:rPr>
                <w:sz w:val="20"/>
                <w:szCs w:val="20"/>
              </w:rPr>
              <w:t>Management and administration of an institution’s research enterprise</w:t>
            </w:r>
          </w:p>
          <w:p w:rsidR="00850C09" w:rsidRDefault="00850C09" w:rsidP="00850C09">
            <w:pPr>
              <w:rPr>
                <w:sz w:val="20"/>
                <w:szCs w:val="20"/>
              </w:rPr>
            </w:pPr>
            <w:r>
              <w:rPr>
                <w:sz w:val="20"/>
                <w:szCs w:val="20"/>
              </w:rPr>
              <w:t>Link:</w:t>
            </w:r>
          </w:p>
          <w:p w:rsidR="00850C09" w:rsidRDefault="0030372E" w:rsidP="00850C09">
            <w:pPr>
              <w:rPr>
                <w:sz w:val="20"/>
                <w:szCs w:val="20"/>
              </w:rPr>
            </w:pPr>
            <w:hyperlink r:id="rId8" w:anchor="management" w:history="1">
              <w:r w:rsidR="00850C09" w:rsidRPr="008C2283">
                <w:rPr>
                  <w:rStyle w:val="Hyperlink"/>
                  <w:sz w:val="20"/>
                  <w:szCs w:val="20"/>
                </w:rPr>
                <w:t>http://www.rsf-fsr.gc.ca/administer-administrer/expenditures-depenses-eng.aspx#management</w:t>
              </w:r>
            </w:hyperlink>
          </w:p>
          <w:p w:rsidR="00850C09" w:rsidRPr="009D62BF" w:rsidRDefault="00850C09" w:rsidP="00850C09">
            <w:pPr>
              <w:rPr>
                <w:sz w:val="20"/>
                <w:szCs w:val="20"/>
              </w:rPr>
            </w:pPr>
          </w:p>
        </w:tc>
        <w:tc>
          <w:tcPr>
            <w:tcW w:w="2184" w:type="dxa"/>
          </w:tcPr>
          <w:p w:rsidR="00850C09" w:rsidRPr="009D62BF" w:rsidRDefault="00850C09" w:rsidP="00850C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Continued support by Office of Research Services in the review and submission of grant applications</w:t>
            </w:r>
          </w:p>
        </w:tc>
        <w:tc>
          <w:tcPr>
            <w:tcW w:w="1582" w:type="dxa"/>
          </w:tcPr>
          <w:p w:rsidR="00850C09" w:rsidRPr="009D62BF" w:rsidRDefault="00850C09" w:rsidP="00850C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Number and quality of Tri-Council grant applications processed</w:t>
            </w:r>
          </w:p>
        </w:tc>
        <w:tc>
          <w:tcPr>
            <w:tcW w:w="1657" w:type="dxa"/>
          </w:tcPr>
          <w:p w:rsidR="00850C09" w:rsidRPr="009D62BF" w:rsidRDefault="00850C09" w:rsidP="00850C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RSF will fund a portion of the salaries of staff in Research Services, Financial Services, Human Resources and Information Technology that directly support researchers.</w:t>
            </w:r>
          </w:p>
        </w:tc>
        <w:tc>
          <w:tcPr>
            <w:tcW w:w="1948" w:type="dxa"/>
          </w:tcPr>
          <w:p w:rsidR="00850C09" w:rsidRDefault="00850C09" w:rsidP="00850C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2015/16 grant facilitators assisted with 41 applications which resulted in success rate of 63%.</w:t>
            </w:r>
          </w:p>
          <w:p w:rsidR="00850C09" w:rsidRDefault="00850C09" w:rsidP="00850C09">
            <w:pPr>
              <w:cnfStyle w:val="000000100000" w:firstRow="0" w:lastRow="0" w:firstColumn="0" w:lastColumn="0" w:oddVBand="0" w:evenVBand="0" w:oddHBand="1" w:evenHBand="0" w:firstRowFirstColumn="0" w:firstRowLastColumn="0" w:lastRowFirstColumn="0" w:lastRowLastColumn="0"/>
              <w:rPr>
                <w:sz w:val="20"/>
                <w:szCs w:val="20"/>
              </w:rPr>
            </w:pPr>
          </w:p>
          <w:p w:rsidR="00850C09" w:rsidRDefault="00850C09" w:rsidP="00850C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Office of Research Services (ORIS) hosted a SSHRC Adjudicators meeting to discuss recent SSHRC Insight grant adjudication meetings.</w:t>
            </w:r>
          </w:p>
          <w:p w:rsidR="00850C09" w:rsidRPr="009D62BF" w:rsidRDefault="00850C09" w:rsidP="00850C09">
            <w:pPr>
              <w:cnfStyle w:val="000000100000" w:firstRow="0" w:lastRow="0" w:firstColumn="0" w:lastColumn="0" w:oddVBand="0" w:evenVBand="0" w:oddHBand="1" w:evenHBand="0" w:firstRowFirstColumn="0" w:firstRowLastColumn="0" w:lastRowFirstColumn="0" w:lastRowLastColumn="0"/>
              <w:rPr>
                <w:sz w:val="20"/>
                <w:szCs w:val="20"/>
              </w:rPr>
            </w:pPr>
          </w:p>
        </w:tc>
      </w:tr>
      <w:tr w:rsidR="00850C09" w:rsidTr="00850C09">
        <w:tc>
          <w:tcPr>
            <w:cnfStyle w:val="001000000000" w:firstRow="0" w:lastRow="0" w:firstColumn="1" w:lastColumn="0" w:oddVBand="0" w:evenVBand="0" w:oddHBand="0" w:evenHBand="0" w:firstRowFirstColumn="0" w:firstRowLastColumn="0" w:lastRowFirstColumn="0" w:lastRowLastColumn="0"/>
            <w:tcW w:w="2263" w:type="dxa"/>
          </w:tcPr>
          <w:p w:rsidR="00850C09" w:rsidRDefault="00850C09" w:rsidP="00850C09">
            <w:pPr>
              <w:rPr>
                <w:sz w:val="20"/>
                <w:szCs w:val="20"/>
              </w:rPr>
            </w:pPr>
            <w:r>
              <w:rPr>
                <w:sz w:val="20"/>
                <w:szCs w:val="20"/>
              </w:rPr>
              <w:t>Regulatory requirements and accreditation</w:t>
            </w:r>
          </w:p>
          <w:p w:rsidR="00850C09" w:rsidRDefault="00850C09" w:rsidP="00850C09">
            <w:pPr>
              <w:rPr>
                <w:sz w:val="20"/>
                <w:szCs w:val="20"/>
              </w:rPr>
            </w:pPr>
            <w:r>
              <w:rPr>
                <w:sz w:val="20"/>
                <w:szCs w:val="20"/>
              </w:rPr>
              <w:t>Link:</w:t>
            </w:r>
          </w:p>
          <w:p w:rsidR="00850C09" w:rsidRDefault="0030372E" w:rsidP="00850C09">
            <w:pPr>
              <w:rPr>
                <w:sz w:val="20"/>
                <w:szCs w:val="20"/>
              </w:rPr>
            </w:pPr>
            <w:hyperlink r:id="rId9" w:anchor="requirements" w:history="1">
              <w:r w:rsidR="00850C09" w:rsidRPr="008C2283">
                <w:rPr>
                  <w:rStyle w:val="Hyperlink"/>
                  <w:sz w:val="20"/>
                  <w:szCs w:val="20"/>
                </w:rPr>
                <w:t>http://www.rsf-fsr.gc.ca/administer-administrer/expenditures-depenses-eng.aspx#requirements</w:t>
              </w:r>
            </w:hyperlink>
          </w:p>
          <w:p w:rsidR="00850C09" w:rsidRPr="009D62BF" w:rsidRDefault="00850C09" w:rsidP="00850C09">
            <w:pPr>
              <w:rPr>
                <w:sz w:val="20"/>
                <w:szCs w:val="20"/>
              </w:rPr>
            </w:pPr>
          </w:p>
        </w:tc>
        <w:tc>
          <w:tcPr>
            <w:tcW w:w="2184" w:type="dxa"/>
          </w:tcPr>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Continued vigilance and oversight of regulatory requirements</w:t>
            </w:r>
          </w:p>
        </w:tc>
        <w:tc>
          <w:tcPr>
            <w:tcW w:w="1582" w:type="dxa"/>
          </w:tcPr>
          <w:p w:rsidR="00850C09"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Time to achieve approval for animal or ethics protocols.</w:t>
            </w:r>
          </w:p>
          <w:p w:rsidR="00850C09"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p>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Level of animal care training.</w:t>
            </w:r>
          </w:p>
        </w:tc>
        <w:tc>
          <w:tcPr>
            <w:tcW w:w="1657" w:type="dxa"/>
          </w:tcPr>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RSF will fund staff infrastructure required for animal care, ethics and safety.</w:t>
            </w:r>
          </w:p>
        </w:tc>
        <w:tc>
          <w:tcPr>
            <w:tcW w:w="1948" w:type="dxa"/>
          </w:tcPr>
          <w:p w:rsidR="00850C09"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228 protocols reviewed (144 human  research protocols, including annual renewals;</w:t>
            </w:r>
            <w:r w:rsidRPr="00284D22">
              <w:rPr>
                <w:sz w:val="20"/>
                <w:szCs w:val="20"/>
              </w:rPr>
              <w:t xml:space="preserve"> and </w:t>
            </w:r>
            <w:r>
              <w:rPr>
                <w:sz w:val="20"/>
                <w:szCs w:val="20"/>
              </w:rPr>
              <w:t xml:space="preserve">84 animal research protocols, </w:t>
            </w:r>
            <w:r w:rsidRPr="00284D22">
              <w:rPr>
                <w:sz w:val="20"/>
                <w:szCs w:val="20"/>
              </w:rPr>
              <w:t xml:space="preserve">including annual renewals) </w:t>
            </w:r>
          </w:p>
          <w:p w:rsidR="00850C09"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p>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ORIS hosted a series of Animal Research Ethics and Human Research Ethics workshops for graduate students.</w:t>
            </w:r>
          </w:p>
        </w:tc>
      </w:tr>
      <w:tr w:rsidR="00850C09" w:rsidTr="00850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4472C4"/>
          </w:tcPr>
          <w:p w:rsidR="00850C09" w:rsidRDefault="00850C09" w:rsidP="00850C09">
            <w:pPr>
              <w:rPr>
                <w:b w:val="0"/>
                <w:sz w:val="20"/>
                <w:szCs w:val="20"/>
              </w:rPr>
            </w:pPr>
            <w:r>
              <w:rPr>
                <w:sz w:val="20"/>
                <w:szCs w:val="20"/>
              </w:rPr>
              <w:lastRenderedPageBreak/>
              <w:t>Eligible Expenditure Category</w:t>
            </w:r>
          </w:p>
        </w:tc>
        <w:tc>
          <w:tcPr>
            <w:tcW w:w="2184" w:type="dxa"/>
            <w:shd w:val="clear" w:color="auto" w:fill="4472C4"/>
          </w:tcPr>
          <w:p w:rsidR="00850C09" w:rsidRDefault="00850C09" w:rsidP="00850C0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Institutional performance objectives</w:t>
            </w:r>
          </w:p>
        </w:tc>
        <w:tc>
          <w:tcPr>
            <w:tcW w:w="1582" w:type="dxa"/>
            <w:shd w:val="clear" w:color="auto" w:fill="4472C4"/>
          </w:tcPr>
          <w:p w:rsidR="00850C09" w:rsidRDefault="00850C09" w:rsidP="00850C0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Indicator</w:t>
            </w:r>
          </w:p>
        </w:tc>
        <w:tc>
          <w:tcPr>
            <w:tcW w:w="1657" w:type="dxa"/>
            <w:shd w:val="clear" w:color="auto" w:fill="4472C4"/>
          </w:tcPr>
          <w:p w:rsidR="00850C09" w:rsidRDefault="00850C09" w:rsidP="00850C0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Output</w:t>
            </w:r>
          </w:p>
        </w:tc>
        <w:tc>
          <w:tcPr>
            <w:tcW w:w="1948" w:type="dxa"/>
            <w:shd w:val="clear" w:color="auto" w:fill="4472C4"/>
          </w:tcPr>
          <w:p w:rsidR="00850C09" w:rsidRDefault="00850C09" w:rsidP="00850C09">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Outcomes reported at year end</w:t>
            </w:r>
          </w:p>
        </w:tc>
      </w:tr>
      <w:tr w:rsidR="00850C09" w:rsidTr="00850C09">
        <w:tc>
          <w:tcPr>
            <w:cnfStyle w:val="001000000000" w:firstRow="0" w:lastRow="0" w:firstColumn="1" w:lastColumn="0" w:oddVBand="0" w:evenVBand="0" w:oddHBand="0" w:evenHBand="0" w:firstRowFirstColumn="0" w:firstRowLastColumn="0" w:lastRowFirstColumn="0" w:lastRowLastColumn="0"/>
            <w:tcW w:w="2263" w:type="dxa"/>
          </w:tcPr>
          <w:p w:rsidR="00850C09" w:rsidRDefault="00850C09" w:rsidP="00850C09">
            <w:pPr>
              <w:rPr>
                <w:sz w:val="20"/>
                <w:szCs w:val="20"/>
              </w:rPr>
            </w:pPr>
            <w:r>
              <w:rPr>
                <w:sz w:val="20"/>
                <w:szCs w:val="20"/>
              </w:rPr>
              <w:t>Intellectual property (IP) and knowledge mobilization</w:t>
            </w:r>
          </w:p>
          <w:p w:rsidR="00850C09" w:rsidRDefault="00850C09" w:rsidP="00850C09">
            <w:pPr>
              <w:rPr>
                <w:sz w:val="20"/>
                <w:szCs w:val="20"/>
              </w:rPr>
            </w:pPr>
            <w:r>
              <w:rPr>
                <w:sz w:val="20"/>
                <w:szCs w:val="20"/>
              </w:rPr>
              <w:t>Link:</w:t>
            </w:r>
          </w:p>
          <w:p w:rsidR="00850C09" w:rsidRDefault="0030372E" w:rsidP="00850C09">
            <w:pPr>
              <w:rPr>
                <w:sz w:val="20"/>
                <w:szCs w:val="20"/>
              </w:rPr>
            </w:pPr>
            <w:hyperlink r:id="rId10" w:anchor="intellectual_property" w:history="1">
              <w:r w:rsidR="00850C09" w:rsidRPr="008C2283">
                <w:rPr>
                  <w:rStyle w:val="Hyperlink"/>
                  <w:sz w:val="20"/>
                  <w:szCs w:val="20"/>
                </w:rPr>
                <w:t>http://www.rsf-fsr.gc.ca/administer-administrer/expenditures-depenses-eng.aspx#intellectual_property</w:t>
              </w:r>
            </w:hyperlink>
          </w:p>
          <w:p w:rsidR="00850C09" w:rsidRPr="009D62BF" w:rsidRDefault="00850C09" w:rsidP="00850C09">
            <w:pPr>
              <w:rPr>
                <w:sz w:val="20"/>
                <w:szCs w:val="20"/>
              </w:rPr>
            </w:pPr>
          </w:p>
        </w:tc>
        <w:tc>
          <w:tcPr>
            <w:tcW w:w="2184" w:type="dxa"/>
          </w:tcPr>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provide service and support to researchers and external partners in knowledge mobilization.</w:t>
            </w:r>
          </w:p>
        </w:tc>
        <w:tc>
          <w:tcPr>
            <w:tcW w:w="1582" w:type="dxa"/>
          </w:tcPr>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Number of staff supporting intellectual property </w:t>
            </w:r>
          </w:p>
        </w:tc>
        <w:tc>
          <w:tcPr>
            <w:tcW w:w="1657" w:type="dxa"/>
          </w:tcPr>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RSF will fund a portion of the compensation for IP staff.</w:t>
            </w:r>
          </w:p>
        </w:tc>
        <w:tc>
          <w:tcPr>
            <w:tcW w:w="1948" w:type="dxa"/>
          </w:tcPr>
          <w:p w:rsidR="00850C09"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 increases in patent applications for the period.</w:t>
            </w:r>
          </w:p>
          <w:p w:rsidR="00850C09" w:rsidRPr="009D62BF" w:rsidRDefault="00850C09" w:rsidP="00850C09">
            <w:pPr>
              <w:cnfStyle w:val="000000000000" w:firstRow="0" w:lastRow="0" w:firstColumn="0" w:lastColumn="0" w:oddVBand="0" w:evenVBand="0" w:oddHBand="0" w:evenHBand="0" w:firstRowFirstColumn="0" w:firstRowLastColumn="0" w:lastRowFirstColumn="0" w:lastRowLastColumn="0"/>
              <w:rPr>
                <w:sz w:val="20"/>
                <w:szCs w:val="20"/>
              </w:rPr>
            </w:pPr>
          </w:p>
        </w:tc>
      </w:tr>
    </w:tbl>
    <w:p w:rsidR="009D62BF" w:rsidRPr="001154D0" w:rsidRDefault="009D62BF">
      <w:pPr>
        <w:rPr>
          <w:b/>
          <w:sz w:val="20"/>
          <w:szCs w:val="20"/>
        </w:rPr>
      </w:pPr>
    </w:p>
    <w:p w:rsidR="001F2704" w:rsidRDefault="001F2704" w:rsidP="001F2704">
      <w:pPr>
        <w:rPr>
          <w:b/>
          <w:sz w:val="20"/>
          <w:szCs w:val="20"/>
        </w:rPr>
      </w:pPr>
    </w:p>
    <w:p w:rsidR="001154D0" w:rsidRPr="00A903A2" w:rsidRDefault="001154D0">
      <w:pPr>
        <w:rPr>
          <w:sz w:val="20"/>
          <w:szCs w:val="20"/>
        </w:rPr>
      </w:pPr>
    </w:p>
    <w:sectPr w:rsidR="001154D0" w:rsidRPr="00A903A2" w:rsidSect="00850C09">
      <w:pgSz w:w="12240" w:h="15840"/>
      <w:pgMar w:top="1440" w:right="1276"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3A28"/>
    <w:multiLevelType w:val="hybridMultilevel"/>
    <w:tmpl w:val="6FDA7FA0"/>
    <w:lvl w:ilvl="0" w:tplc="62AE392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5A2F1B"/>
    <w:multiLevelType w:val="hybridMultilevel"/>
    <w:tmpl w:val="BA782B6A"/>
    <w:lvl w:ilvl="0" w:tplc="62AE392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252721"/>
    <w:multiLevelType w:val="hybridMultilevel"/>
    <w:tmpl w:val="B172D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2"/>
    <w:rsid w:val="000074E5"/>
    <w:rsid w:val="00010F87"/>
    <w:rsid w:val="0003034E"/>
    <w:rsid w:val="00033909"/>
    <w:rsid w:val="00056D8A"/>
    <w:rsid w:val="00057021"/>
    <w:rsid w:val="00067F9E"/>
    <w:rsid w:val="0008646D"/>
    <w:rsid w:val="000955D1"/>
    <w:rsid w:val="000A2DDE"/>
    <w:rsid w:val="000A3B6B"/>
    <w:rsid w:val="000A798A"/>
    <w:rsid w:val="000B4169"/>
    <w:rsid w:val="000B5913"/>
    <w:rsid w:val="000D06EF"/>
    <w:rsid w:val="000D34D1"/>
    <w:rsid w:val="000D6DCD"/>
    <w:rsid w:val="000E6A2F"/>
    <w:rsid w:val="000F4910"/>
    <w:rsid w:val="00111256"/>
    <w:rsid w:val="001154D0"/>
    <w:rsid w:val="001414CE"/>
    <w:rsid w:val="00146595"/>
    <w:rsid w:val="0015435F"/>
    <w:rsid w:val="001621D3"/>
    <w:rsid w:val="00162ED1"/>
    <w:rsid w:val="00171ECD"/>
    <w:rsid w:val="00180172"/>
    <w:rsid w:val="0018226C"/>
    <w:rsid w:val="0019325C"/>
    <w:rsid w:val="001A6BF6"/>
    <w:rsid w:val="001B0EF7"/>
    <w:rsid w:val="001D0199"/>
    <w:rsid w:val="001E4510"/>
    <w:rsid w:val="001E53B8"/>
    <w:rsid w:val="001E5BAD"/>
    <w:rsid w:val="001F2704"/>
    <w:rsid w:val="002454FF"/>
    <w:rsid w:val="00251750"/>
    <w:rsid w:val="00257988"/>
    <w:rsid w:val="002627F0"/>
    <w:rsid w:val="00262E1C"/>
    <w:rsid w:val="00275438"/>
    <w:rsid w:val="00284D22"/>
    <w:rsid w:val="002872F1"/>
    <w:rsid w:val="002878AC"/>
    <w:rsid w:val="002A424D"/>
    <w:rsid w:val="002A4389"/>
    <w:rsid w:val="002B208D"/>
    <w:rsid w:val="002D006D"/>
    <w:rsid w:val="002D3B6E"/>
    <w:rsid w:val="002D54D6"/>
    <w:rsid w:val="002F1514"/>
    <w:rsid w:val="002F4E6D"/>
    <w:rsid w:val="0030372E"/>
    <w:rsid w:val="00305576"/>
    <w:rsid w:val="003067BC"/>
    <w:rsid w:val="003277C4"/>
    <w:rsid w:val="00340DA1"/>
    <w:rsid w:val="003458B8"/>
    <w:rsid w:val="003623F5"/>
    <w:rsid w:val="00366B13"/>
    <w:rsid w:val="00395EE4"/>
    <w:rsid w:val="00397A7E"/>
    <w:rsid w:val="003A5DB1"/>
    <w:rsid w:val="003B3CBA"/>
    <w:rsid w:val="003C7D17"/>
    <w:rsid w:val="003E23BE"/>
    <w:rsid w:val="00406A9E"/>
    <w:rsid w:val="00426008"/>
    <w:rsid w:val="00442074"/>
    <w:rsid w:val="00445783"/>
    <w:rsid w:val="004613E3"/>
    <w:rsid w:val="00461972"/>
    <w:rsid w:val="004622C4"/>
    <w:rsid w:val="00467BD4"/>
    <w:rsid w:val="00474F83"/>
    <w:rsid w:val="00493A48"/>
    <w:rsid w:val="00493B3D"/>
    <w:rsid w:val="004A4029"/>
    <w:rsid w:val="004A5413"/>
    <w:rsid w:val="004B371F"/>
    <w:rsid w:val="004C252C"/>
    <w:rsid w:val="004E30EE"/>
    <w:rsid w:val="004E3DD9"/>
    <w:rsid w:val="004E5FBF"/>
    <w:rsid w:val="00500C8E"/>
    <w:rsid w:val="00516CC3"/>
    <w:rsid w:val="005438E2"/>
    <w:rsid w:val="005655A6"/>
    <w:rsid w:val="00565904"/>
    <w:rsid w:val="00573E56"/>
    <w:rsid w:val="0057593B"/>
    <w:rsid w:val="005B17A7"/>
    <w:rsid w:val="005C3FF2"/>
    <w:rsid w:val="005D05F3"/>
    <w:rsid w:val="005D108F"/>
    <w:rsid w:val="005D6497"/>
    <w:rsid w:val="005F6212"/>
    <w:rsid w:val="005F77D4"/>
    <w:rsid w:val="005F7AD6"/>
    <w:rsid w:val="0062416B"/>
    <w:rsid w:val="00626054"/>
    <w:rsid w:val="0063144E"/>
    <w:rsid w:val="006414F2"/>
    <w:rsid w:val="00643D86"/>
    <w:rsid w:val="0066229E"/>
    <w:rsid w:val="006803E8"/>
    <w:rsid w:val="006A0ED4"/>
    <w:rsid w:val="006A4EF2"/>
    <w:rsid w:val="006B0A34"/>
    <w:rsid w:val="006B77FC"/>
    <w:rsid w:val="006C22BC"/>
    <w:rsid w:val="006C5006"/>
    <w:rsid w:val="006E23B3"/>
    <w:rsid w:val="006E3AB9"/>
    <w:rsid w:val="006E74CA"/>
    <w:rsid w:val="006F622C"/>
    <w:rsid w:val="0070007B"/>
    <w:rsid w:val="00700581"/>
    <w:rsid w:val="0070646E"/>
    <w:rsid w:val="00711DAB"/>
    <w:rsid w:val="007141A2"/>
    <w:rsid w:val="007235D8"/>
    <w:rsid w:val="0073594C"/>
    <w:rsid w:val="0074562F"/>
    <w:rsid w:val="007707E0"/>
    <w:rsid w:val="00774C91"/>
    <w:rsid w:val="007B0DA2"/>
    <w:rsid w:val="007D3AAB"/>
    <w:rsid w:val="007D3EF1"/>
    <w:rsid w:val="007E1673"/>
    <w:rsid w:val="008020AF"/>
    <w:rsid w:val="00804FC0"/>
    <w:rsid w:val="008124F8"/>
    <w:rsid w:val="008241D7"/>
    <w:rsid w:val="00824DC7"/>
    <w:rsid w:val="00834A5D"/>
    <w:rsid w:val="0083709B"/>
    <w:rsid w:val="008415A7"/>
    <w:rsid w:val="00850C09"/>
    <w:rsid w:val="00851BD8"/>
    <w:rsid w:val="0085775C"/>
    <w:rsid w:val="00861F9C"/>
    <w:rsid w:val="008729E4"/>
    <w:rsid w:val="008A53D4"/>
    <w:rsid w:val="008A648F"/>
    <w:rsid w:val="008A6B0B"/>
    <w:rsid w:val="008B19D4"/>
    <w:rsid w:val="008C4126"/>
    <w:rsid w:val="008C5370"/>
    <w:rsid w:val="008E46E1"/>
    <w:rsid w:val="008F2193"/>
    <w:rsid w:val="00900257"/>
    <w:rsid w:val="00913862"/>
    <w:rsid w:val="00914CB6"/>
    <w:rsid w:val="00915F4B"/>
    <w:rsid w:val="0092186A"/>
    <w:rsid w:val="009364FC"/>
    <w:rsid w:val="009500CB"/>
    <w:rsid w:val="00951DEB"/>
    <w:rsid w:val="0099644D"/>
    <w:rsid w:val="00996CAC"/>
    <w:rsid w:val="009A3F82"/>
    <w:rsid w:val="009C447F"/>
    <w:rsid w:val="009C7384"/>
    <w:rsid w:val="009D0DFB"/>
    <w:rsid w:val="009D62BF"/>
    <w:rsid w:val="009D6F73"/>
    <w:rsid w:val="009F6ACE"/>
    <w:rsid w:val="00A10D53"/>
    <w:rsid w:val="00A24E51"/>
    <w:rsid w:val="00A31F95"/>
    <w:rsid w:val="00A42920"/>
    <w:rsid w:val="00A4424C"/>
    <w:rsid w:val="00A47936"/>
    <w:rsid w:val="00A521F3"/>
    <w:rsid w:val="00A5292C"/>
    <w:rsid w:val="00A60C59"/>
    <w:rsid w:val="00A66A72"/>
    <w:rsid w:val="00A716DA"/>
    <w:rsid w:val="00A76EB6"/>
    <w:rsid w:val="00A903A2"/>
    <w:rsid w:val="00AB0747"/>
    <w:rsid w:val="00AB4364"/>
    <w:rsid w:val="00AC59D3"/>
    <w:rsid w:val="00AE164C"/>
    <w:rsid w:val="00AE3EA7"/>
    <w:rsid w:val="00B01D3F"/>
    <w:rsid w:val="00B037C6"/>
    <w:rsid w:val="00B03A0D"/>
    <w:rsid w:val="00B069FD"/>
    <w:rsid w:val="00B070BD"/>
    <w:rsid w:val="00B1225A"/>
    <w:rsid w:val="00B23166"/>
    <w:rsid w:val="00B24BD7"/>
    <w:rsid w:val="00B26C35"/>
    <w:rsid w:val="00B30BEE"/>
    <w:rsid w:val="00B57878"/>
    <w:rsid w:val="00B63AAD"/>
    <w:rsid w:val="00B80A10"/>
    <w:rsid w:val="00B844B8"/>
    <w:rsid w:val="00BB6FE7"/>
    <w:rsid w:val="00BC09D6"/>
    <w:rsid w:val="00BD27AD"/>
    <w:rsid w:val="00C63CC0"/>
    <w:rsid w:val="00C64316"/>
    <w:rsid w:val="00C73949"/>
    <w:rsid w:val="00C76385"/>
    <w:rsid w:val="00C9630B"/>
    <w:rsid w:val="00CA2996"/>
    <w:rsid w:val="00CA6FCB"/>
    <w:rsid w:val="00CF08C4"/>
    <w:rsid w:val="00D03745"/>
    <w:rsid w:val="00D21B2E"/>
    <w:rsid w:val="00D33933"/>
    <w:rsid w:val="00D5067C"/>
    <w:rsid w:val="00D52CB8"/>
    <w:rsid w:val="00D52F60"/>
    <w:rsid w:val="00D577B3"/>
    <w:rsid w:val="00D71C1C"/>
    <w:rsid w:val="00D83E6D"/>
    <w:rsid w:val="00D90879"/>
    <w:rsid w:val="00D932F7"/>
    <w:rsid w:val="00DA0C2B"/>
    <w:rsid w:val="00DC3A81"/>
    <w:rsid w:val="00DC3CA0"/>
    <w:rsid w:val="00DC4A1B"/>
    <w:rsid w:val="00DC57A9"/>
    <w:rsid w:val="00DD05E5"/>
    <w:rsid w:val="00DD68A7"/>
    <w:rsid w:val="00DF0556"/>
    <w:rsid w:val="00DF4FD6"/>
    <w:rsid w:val="00DF6CA7"/>
    <w:rsid w:val="00E1601A"/>
    <w:rsid w:val="00E2592B"/>
    <w:rsid w:val="00E35A4A"/>
    <w:rsid w:val="00E44B7D"/>
    <w:rsid w:val="00E507F3"/>
    <w:rsid w:val="00E61360"/>
    <w:rsid w:val="00E756F6"/>
    <w:rsid w:val="00E82AB2"/>
    <w:rsid w:val="00E8675A"/>
    <w:rsid w:val="00E93EC2"/>
    <w:rsid w:val="00EA0F8E"/>
    <w:rsid w:val="00EC434E"/>
    <w:rsid w:val="00ED06F7"/>
    <w:rsid w:val="00ED073A"/>
    <w:rsid w:val="00F35882"/>
    <w:rsid w:val="00F459CD"/>
    <w:rsid w:val="00F61E2C"/>
    <w:rsid w:val="00F63B7D"/>
    <w:rsid w:val="00F6596E"/>
    <w:rsid w:val="00F67EB9"/>
    <w:rsid w:val="00FB2D15"/>
    <w:rsid w:val="00FC21B8"/>
    <w:rsid w:val="00FD5F9B"/>
    <w:rsid w:val="00FE2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9B5DA-49C8-47E2-824B-151691DD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E46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069FD"/>
    <w:rPr>
      <w:color w:val="0563C1" w:themeColor="hyperlink"/>
      <w:u w:val="single"/>
    </w:rPr>
  </w:style>
  <w:style w:type="paragraph" w:styleId="ListParagraph">
    <w:name w:val="List Paragraph"/>
    <w:basedOn w:val="Normal"/>
    <w:uiPriority w:val="34"/>
    <w:qFormat/>
    <w:rsid w:val="00996CAC"/>
    <w:pPr>
      <w:ind w:left="720"/>
      <w:contextualSpacing/>
    </w:pPr>
  </w:style>
  <w:style w:type="table" w:styleId="GridTable4-Accent1">
    <w:name w:val="Grid Table 4 Accent 1"/>
    <w:basedOn w:val="TableNormal"/>
    <w:uiPriority w:val="49"/>
    <w:rsid w:val="000A3B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0A3B6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f-fsr.gc.ca/administer-administrer/expenditures-depenses-eng.aspx" TargetMode="External"/><Relationship Id="rId3" Type="http://schemas.openxmlformats.org/officeDocument/2006/relationships/settings" Target="settings.xml"/><Relationship Id="rId7" Type="http://schemas.openxmlformats.org/officeDocument/2006/relationships/hyperlink" Target="http://www.rsf-fsr.gc.ca/administer-administrer/expenditures-depenses-e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f-fsr.gc.ca/administer-administrer/expenditures-depenses-eng.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sf-fsr.gc.ca/administer-administrer/expenditures-depenses-eng.aspx" TargetMode="External"/><Relationship Id="rId4" Type="http://schemas.openxmlformats.org/officeDocument/2006/relationships/webSettings" Target="webSettings.xml"/><Relationship Id="rId9" Type="http://schemas.openxmlformats.org/officeDocument/2006/relationships/hyperlink" Target="http://www.rsf-fsr.gc.ca/administer-administrer/expenditures-depenses-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Takeyasu, Carrie</dc:creator>
  <cp:keywords/>
  <dc:description/>
  <cp:lastModifiedBy>Pickles, Penny</cp:lastModifiedBy>
  <cp:revision>2</cp:revision>
  <dcterms:created xsi:type="dcterms:W3CDTF">2017-06-30T14:17:00Z</dcterms:created>
  <dcterms:modified xsi:type="dcterms:W3CDTF">2017-06-30T14:17:00Z</dcterms:modified>
</cp:coreProperties>
</file>