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89" w:rsidRPr="004B502E" w:rsidRDefault="007B2489" w:rsidP="00B31060">
      <w:pPr>
        <w:spacing w:line="480" w:lineRule="auto"/>
        <w:ind w:firstLine="720"/>
        <w:jc w:val="center"/>
        <w:rPr>
          <w:rFonts w:ascii="Times New Roman" w:hAnsi="Times New Roman" w:cs="Times New Roman"/>
        </w:rPr>
      </w:pPr>
      <w:bookmarkStart w:id="0" w:name="_GoBack"/>
      <w:bookmarkEnd w:id="0"/>
    </w:p>
    <w:p w:rsidR="0076740E" w:rsidRPr="004B502E" w:rsidRDefault="0076740E" w:rsidP="00B31060">
      <w:pPr>
        <w:spacing w:line="480" w:lineRule="auto"/>
        <w:ind w:firstLine="720"/>
        <w:jc w:val="center"/>
        <w:rPr>
          <w:rFonts w:ascii="Times New Roman" w:hAnsi="Times New Roman" w:cs="Times New Roman"/>
        </w:rPr>
      </w:pPr>
    </w:p>
    <w:p w:rsidR="0076740E" w:rsidRPr="004B502E" w:rsidRDefault="0076740E" w:rsidP="0076740E">
      <w:pPr>
        <w:spacing w:line="480" w:lineRule="auto"/>
        <w:ind w:firstLine="720"/>
        <w:jc w:val="center"/>
        <w:rPr>
          <w:rFonts w:ascii="Times New Roman" w:hAnsi="Times New Roman" w:cs="Times New Roman"/>
          <w:sz w:val="24"/>
          <w:szCs w:val="24"/>
        </w:rPr>
      </w:pPr>
    </w:p>
    <w:p w:rsidR="007B2489" w:rsidRPr="004B502E" w:rsidRDefault="0076740E" w:rsidP="008846D7">
      <w:pPr>
        <w:spacing w:line="480" w:lineRule="auto"/>
        <w:ind w:firstLine="720"/>
        <w:jc w:val="center"/>
        <w:rPr>
          <w:rFonts w:ascii="Times New Roman" w:hAnsi="Times New Roman" w:cs="Times New Roman"/>
          <w:sz w:val="24"/>
          <w:szCs w:val="24"/>
        </w:rPr>
      </w:pPr>
      <w:r w:rsidRPr="004B502E">
        <w:rPr>
          <w:rFonts w:ascii="Times New Roman" w:hAnsi="Times New Roman" w:cs="Times New Roman"/>
          <w:sz w:val="24"/>
          <w:szCs w:val="24"/>
        </w:rPr>
        <w:t xml:space="preserve">Internal </w:t>
      </w:r>
      <w:r w:rsidR="00C23CAE" w:rsidRPr="004B502E">
        <w:rPr>
          <w:rFonts w:ascii="Times New Roman" w:hAnsi="Times New Roman" w:cs="Times New Roman"/>
          <w:sz w:val="24"/>
          <w:szCs w:val="24"/>
        </w:rPr>
        <w:t xml:space="preserve">and External </w:t>
      </w:r>
      <w:r w:rsidR="00A0641B" w:rsidRPr="004B502E">
        <w:rPr>
          <w:rFonts w:ascii="Times New Roman" w:hAnsi="Times New Roman" w:cs="Times New Roman"/>
          <w:sz w:val="24"/>
          <w:szCs w:val="24"/>
        </w:rPr>
        <w:t>Factors</w:t>
      </w:r>
      <w:r w:rsidRPr="004B502E">
        <w:rPr>
          <w:rFonts w:ascii="Times New Roman" w:hAnsi="Times New Roman" w:cs="Times New Roman"/>
          <w:sz w:val="24"/>
          <w:szCs w:val="24"/>
        </w:rPr>
        <w:t xml:space="preserve"> </w:t>
      </w:r>
      <w:r w:rsidR="007F65ED" w:rsidRPr="004B502E">
        <w:rPr>
          <w:rFonts w:ascii="Times New Roman" w:hAnsi="Times New Roman" w:cs="Times New Roman"/>
          <w:sz w:val="24"/>
          <w:szCs w:val="24"/>
        </w:rPr>
        <w:t xml:space="preserve">and the Performance of </w:t>
      </w:r>
      <w:r w:rsidR="006328D1">
        <w:rPr>
          <w:rFonts w:ascii="Times New Roman" w:hAnsi="Times New Roman" w:cs="Times New Roman"/>
          <w:sz w:val="24"/>
          <w:szCs w:val="24"/>
        </w:rPr>
        <w:t xml:space="preserve">Malaysian </w:t>
      </w:r>
      <w:r w:rsidR="00852351">
        <w:rPr>
          <w:rFonts w:ascii="Times New Roman" w:hAnsi="Times New Roman" w:cs="Times New Roman"/>
          <w:sz w:val="24"/>
          <w:szCs w:val="24"/>
        </w:rPr>
        <w:t xml:space="preserve">Islamic </w:t>
      </w:r>
      <w:r w:rsidR="00E25536">
        <w:rPr>
          <w:rFonts w:ascii="Times New Roman" w:hAnsi="Times New Roman" w:cs="Times New Roman"/>
          <w:sz w:val="24"/>
          <w:szCs w:val="24"/>
        </w:rPr>
        <w:t>B</w:t>
      </w:r>
      <w:r w:rsidR="00852351">
        <w:rPr>
          <w:rFonts w:ascii="Times New Roman" w:hAnsi="Times New Roman" w:cs="Times New Roman"/>
          <w:sz w:val="24"/>
          <w:szCs w:val="24"/>
        </w:rPr>
        <w:t>anks</w:t>
      </w:r>
    </w:p>
    <w:p w:rsidR="007B2489" w:rsidRPr="004B502E" w:rsidRDefault="007B2489" w:rsidP="008846D7">
      <w:pPr>
        <w:spacing w:line="480" w:lineRule="auto"/>
        <w:ind w:firstLine="720"/>
        <w:jc w:val="center"/>
        <w:rPr>
          <w:rFonts w:ascii="Times New Roman" w:hAnsi="Times New Roman" w:cs="Times New Roman"/>
          <w:sz w:val="24"/>
          <w:szCs w:val="24"/>
        </w:rPr>
      </w:pPr>
    </w:p>
    <w:p w:rsidR="00B31060" w:rsidRPr="004B502E" w:rsidRDefault="00B31060" w:rsidP="008846D7">
      <w:pPr>
        <w:spacing w:line="480" w:lineRule="auto"/>
        <w:ind w:firstLine="720"/>
        <w:jc w:val="center"/>
        <w:rPr>
          <w:rFonts w:ascii="Times New Roman" w:hAnsi="Times New Roman" w:cs="Times New Roman"/>
          <w:sz w:val="24"/>
          <w:szCs w:val="24"/>
        </w:rPr>
      </w:pPr>
    </w:p>
    <w:p w:rsidR="00B31060" w:rsidRPr="004B502E" w:rsidRDefault="00B31060" w:rsidP="008846D7">
      <w:pPr>
        <w:spacing w:line="480" w:lineRule="auto"/>
        <w:ind w:firstLine="720"/>
        <w:jc w:val="center"/>
        <w:rPr>
          <w:rFonts w:ascii="Times New Roman" w:hAnsi="Times New Roman" w:cs="Times New Roman"/>
          <w:bCs/>
          <w:sz w:val="24"/>
          <w:szCs w:val="24"/>
        </w:rPr>
      </w:pPr>
      <w:r w:rsidRPr="004B502E">
        <w:rPr>
          <w:rFonts w:ascii="Times New Roman" w:hAnsi="Times New Roman" w:cs="Times New Roman"/>
          <w:bCs/>
          <w:sz w:val="24"/>
          <w:szCs w:val="24"/>
        </w:rPr>
        <w:t>Parviz Ahangi</w:t>
      </w:r>
    </w:p>
    <w:p w:rsidR="00B31060" w:rsidRPr="004B502E" w:rsidRDefault="00B31060" w:rsidP="008846D7">
      <w:pPr>
        <w:spacing w:line="480" w:lineRule="auto"/>
        <w:ind w:firstLine="720"/>
        <w:jc w:val="center"/>
        <w:rPr>
          <w:rFonts w:ascii="Times New Roman" w:hAnsi="Times New Roman" w:cs="Times New Roman"/>
          <w:sz w:val="24"/>
          <w:szCs w:val="24"/>
        </w:rPr>
      </w:pPr>
      <w:r w:rsidRPr="004B502E">
        <w:rPr>
          <w:rFonts w:ascii="Times New Roman" w:hAnsi="Times New Roman" w:cs="Times New Roman"/>
          <w:sz w:val="24"/>
          <w:szCs w:val="24"/>
        </w:rPr>
        <w:t>University of Lethbridge</w:t>
      </w:r>
    </w:p>
    <w:p w:rsidR="00B31060" w:rsidRPr="004B502E" w:rsidRDefault="00B31060" w:rsidP="008846D7">
      <w:pPr>
        <w:spacing w:line="480" w:lineRule="auto"/>
        <w:ind w:firstLine="720"/>
        <w:jc w:val="center"/>
        <w:rPr>
          <w:rFonts w:ascii="Times New Roman" w:hAnsi="Times New Roman" w:cs="Times New Roman"/>
          <w:sz w:val="24"/>
          <w:szCs w:val="24"/>
        </w:rPr>
      </w:pPr>
      <w:r w:rsidRPr="004B502E">
        <w:rPr>
          <w:rFonts w:ascii="Times New Roman" w:hAnsi="Times New Roman" w:cs="Times New Roman"/>
          <w:sz w:val="24"/>
          <w:szCs w:val="24"/>
        </w:rPr>
        <w:t>Faculty of Management</w:t>
      </w:r>
    </w:p>
    <w:p w:rsidR="00B31060" w:rsidRPr="004B502E" w:rsidRDefault="00B31060" w:rsidP="008846D7">
      <w:pPr>
        <w:spacing w:line="480" w:lineRule="auto"/>
        <w:jc w:val="center"/>
        <w:rPr>
          <w:rFonts w:ascii="Times New Roman" w:hAnsi="Times New Roman" w:cs="Times New Roman"/>
          <w:sz w:val="24"/>
          <w:szCs w:val="24"/>
        </w:rPr>
      </w:pPr>
    </w:p>
    <w:p w:rsidR="00B31060" w:rsidRPr="004B502E" w:rsidRDefault="00B31060" w:rsidP="008846D7">
      <w:pPr>
        <w:spacing w:line="480" w:lineRule="auto"/>
        <w:ind w:firstLine="720"/>
        <w:jc w:val="center"/>
        <w:rPr>
          <w:rFonts w:ascii="Times New Roman" w:hAnsi="Times New Roman" w:cs="Times New Roman"/>
          <w:sz w:val="24"/>
          <w:szCs w:val="24"/>
        </w:rPr>
      </w:pPr>
    </w:p>
    <w:p w:rsidR="00B31060" w:rsidRPr="004B502E" w:rsidRDefault="00B31060" w:rsidP="008846D7">
      <w:pPr>
        <w:spacing w:line="480" w:lineRule="auto"/>
        <w:ind w:firstLine="720"/>
        <w:jc w:val="center"/>
        <w:rPr>
          <w:rFonts w:ascii="Times New Roman" w:hAnsi="Times New Roman" w:cs="Times New Roman"/>
          <w:sz w:val="24"/>
          <w:szCs w:val="24"/>
        </w:rPr>
      </w:pPr>
    </w:p>
    <w:p w:rsidR="00A624F0" w:rsidRPr="004B502E" w:rsidRDefault="00A624F0" w:rsidP="008846D7">
      <w:pPr>
        <w:pStyle w:val="Heading1"/>
        <w:jc w:val="center"/>
        <w:rPr>
          <w:rFonts w:ascii="Times New Roman" w:hAnsi="Times New Roman" w:cs="Times New Roman"/>
          <w:color w:val="auto"/>
          <w:sz w:val="24"/>
          <w:szCs w:val="24"/>
        </w:rPr>
      </w:pPr>
      <w:bookmarkStart w:id="1" w:name="_Toc327132062"/>
    </w:p>
    <w:p w:rsidR="00A624F0" w:rsidRDefault="00A624F0" w:rsidP="008846D7">
      <w:pPr>
        <w:pStyle w:val="Heading1"/>
        <w:jc w:val="center"/>
        <w:rPr>
          <w:rFonts w:ascii="Times New Roman" w:hAnsi="Times New Roman" w:cs="Times New Roman"/>
          <w:color w:val="auto"/>
          <w:sz w:val="24"/>
          <w:szCs w:val="24"/>
        </w:rPr>
      </w:pPr>
    </w:p>
    <w:p w:rsidR="004B502E" w:rsidRPr="004B502E" w:rsidRDefault="004B502E" w:rsidP="004B502E"/>
    <w:p w:rsidR="00A624F0" w:rsidRPr="004B502E" w:rsidRDefault="00A624F0" w:rsidP="008846D7">
      <w:pPr>
        <w:pStyle w:val="Heading1"/>
        <w:jc w:val="center"/>
        <w:rPr>
          <w:rFonts w:ascii="Times New Roman" w:hAnsi="Times New Roman" w:cs="Times New Roman"/>
          <w:color w:val="auto"/>
          <w:sz w:val="24"/>
          <w:szCs w:val="24"/>
        </w:rPr>
      </w:pPr>
    </w:p>
    <w:p w:rsidR="00A624F0" w:rsidRPr="004B502E" w:rsidRDefault="00A624F0" w:rsidP="008846D7">
      <w:pPr>
        <w:jc w:val="center"/>
        <w:rPr>
          <w:rFonts w:ascii="Times New Roman" w:hAnsi="Times New Roman" w:cs="Times New Roman"/>
          <w:sz w:val="24"/>
          <w:szCs w:val="24"/>
        </w:rPr>
      </w:pPr>
    </w:p>
    <w:p w:rsidR="00E269FF" w:rsidRPr="004B502E" w:rsidRDefault="00E269FF" w:rsidP="004C1A0F">
      <w:pPr>
        <w:spacing w:line="480" w:lineRule="auto"/>
        <w:rPr>
          <w:rFonts w:ascii="Times New Roman" w:hAnsi="Times New Roman" w:cs="Times New Roman"/>
          <w:b/>
          <w:sz w:val="24"/>
          <w:szCs w:val="24"/>
        </w:rPr>
      </w:pPr>
    </w:p>
    <w:p w:rsidR="00C23563" w:rsidRPr="001D4AB4" w:rsidRDefault="009A579F" w:rsidP="001D4AB4">
      <w:pPr>
        <w:pStyle w:val="Heading1"/>
        <w:spacing w:line="480" w:lineRule="auto"/>
        <w:jc w:val="center"/>
        <w:rPr>
          <w:rFonts w:ascii="Times New Roman" w:hAnsi="Times New Roman" w:cs="Times New Roman"/>
          <w:color w:val="auto"/>
          <w:sz w:val="24"/>
        </w:rPr>
      </w:pPr>
      <w:bookmarkStart w:id="2" w:name="_Toc346718424"/>
      <w:r w:rsidRPr="001D4AB4">
        <w:rPr>
          <w:rFonts w:ascii="Times New Roman" w:hAnsi="Times New Roman" w:cs="Times New Roman"/>
          <w:color w:val="auto"/>
          <w:sz w:val="24"/>
        </w:rPr>
        <w:lastRenderedPageBreak/>
        <w:t>Abstract</w:t>
      </w:r>
      <w:bookmarkEnd w:id="1"/>
      <w:bookmarkEnd w:id="2"/>
    </w:p>
    <w:p w:rsidR="00662D84" w:rsidRDefault="003C0341" w:rsidP="00662D84">
      <w:pPr>
        <w:spacing w:line="480" w:lineRule="auto"/>
        <w:rPr>
          <w:rFonts w:ascii="Times New Roman" w:hAnsi="Times New Roman" w:cs="Times New Roman"/>
          <w:sz w:val="24"/>
          <w:szCs w:val="24"/>
        </w:rPr>
      </w:pPr>
      <w:r w:rsidRPr="004B502E">
        <w:rPr>
          <w:rFonts w:ascii="Times New Roman" w:hAnsi="Times New Roman" w:cs="Times New Roman"/>
          <w:sz w:val="24"/>
          <w:szCs w:val="24"/>
        </w:rPr>
        <w:t>This study</w:t>
      </w:r>
      <w:r w:rsidR="004E4074" w:rsidRPr="004B502E">
        <w:rPr>
          <w:rFonts w:ascii="Times New Roman" w:hAnsi="Times New Roman" w:cs="Times New Roman"/>
          <w:sz w:val="24"/>
          <w:szCs w:val="24"/>
        </w:rPr>
        <w:t xml:space="preserve"> </w:t>
      </w:r>
      <w:r w:rsidR="007F65ED" w:rsidRPr="004B502E">
        <w:rPr>
          <w:rFonts w:ascii="Times New Roman" w:hAnsi="Times New Roman" w:cs="Times New Roman"/>
          <w:sz w:val="24"/>
          <w:szCs w:val="24"/>
        </w:rPr>
        <w:t xml:space="preserve">analyzes the effect of </w:t>
      </w:r>
      <w:r w:rsidR="00FC241D" w:rsidRPr="004B502E">
        <w:rPr>
          <w:rFonts w:ascii="Times New Roman" w:hAnsi="Times New Roman" w:cs="Times New Roman"/>
          <w:sz w:val="24"/>
          <w:szCs w:val="24"/>
        </w:rPr>
        <w:t>internal and external factors</w:t>
      </w:r>
      <w:r w:rsidR="007F65ED" w:rsidRPr="004B502E">
        <w:rPr>
          <w:rFonts w:ascii="Times New Roman" w:hAnsi="Times New Roman" w:cs="Times New Roman"/>
          <w:sz w:val="24"/>
          <w:szCs w:val="24"/>
        </w:rPr>
        <w:t xml:space="preserve"> on the performance of </w:t>
      </w:r>
      <w:r w:rsidR="00852351">
        <w:rPr>
          <w:rFonts w:ascii="Times New Roman" w:hAnsi="Times New Roman" w:cs="Times New Roman"/>
          <w:sz w:val="24"/>
          <w:szCs w:val="24"/>
        </w:rPr>
        <w:t>Islamic banks</w:t>
      </w:r>
      <w:r w:rsidR="007F65ED" w:rsidRPr="004B502E">
        <w:rPr>
          <w:rFonts w:ascii="Times New Roman" w:hAnsi="Times New Roman" w:cs="Times New Roman"/>
          <w:sz w:val="24"/>
          <w:szCs w:val="24"/>
        </w:rPr>
        <w:t xml:space="preserve"> </w:t>
      </w:r>
      <w:r w:rsidR="00575E6F">
        <w:rPr>
          <w:rFonts w:ascii="Times New Roman" w:hAnsi="Times New Roman" w:cs="Times New Roman"/>
          <w:sz w:val="24"/>
          <w:szCs w:val="24"/>
        </w:rPr>
        <w:t>in</w:t>
      </w:r>
      <w:r w:rsidR="00575E6F" w:rsidRPr="004B502E">
        <w:rPr>
          <w:rFonts w:ascii="Times New Roman" w:hAnsi="Times New Roman" w:cs="Times New Roman"/>
          <w:sz w:val="24"/>
          <w:szCs w:val="24"/>
        </w:rPr>
        <w:t xml:space="preserve"> </w:t>
      </w:r>
      <w:r w:rsidR="007F65ED" w:rsidRPr="004B502E">
        <w:rPr>
          <w:rFonts w:ascii="Times New Roman" w:hAnsi="Times New Roman" w:cs="Times New Roman"/>
          <w:sz w:val="24"/>
          <w:szCs w:val="24"/>
        </w:rPr>
        <w:t>Mal</w:t>
      </w:r>
      <w:r w:rsidR="001C70BF" w:rsidRPr="004B502E">
        <w:rPr>
          <w:rFonts w:ascii="Times New Roman" w:hAnsi="Times New Roman" w:cs="Times New Roman"/>
          <w:sz w:val="24"/>
          <w:szCs w:val="24"/>
        </w:rPr>
        <w:t>aysia. Additionally, this study analyzes</w:t>
      </w:r>
      <w:r w:rsidR="007F65ED" w:rsidRPr="004B502E">
        <w:rPr>
          <w:rFonts w:ascii="Times New Roman" w:hAnsi="Times New Roman" w:cs="Times New Roman"/>
          <w:sz w:val="24"/>
          <w:szCs w:val="24"/>
        </w:rPr>
        <w:t xml:space="preserve"> the robustness of this effect by </w:t>
      </w:r>
      <w:r w:rsidR="001C70BF" w:rsidRPr="004B502E">
        <w:rPr>
          <w:rFonts w:ascii="Times New Roman" w:hAnsi="Times New Roman" w:cs="Times New Roman"/>
          <w:sz w:val="24"/>
          <w:szCs w:val="24"/>
        </w:rPr>
        <w:t xml:space="preserve">adding factors </w:t>
      </w:r>
      <w:r w:rsidR="00575E6F">
        <w:rPr>
          <w:rFonts w:ascii="Times New Roman" w:hAnsi="Times New Roman" w:cs="Times New Roman"/>
          <w:sz w:val="24"/>
          <w:szCs w:val="24"/>
        </w:rPr>
        <w:t>that</w:t>
      </w:r>
      <w:r w:rsidR="00575E6F" w:rsidRPr="004B502E">
        <w:rPr>
          <w:rFonts w:ascii="Times New Roman" w:hAnsi="Times New Roman" w:cs="Times New Roman"/>
          <w:sz w:val="24"/>
          <w:szCs w:val="24"/>
        </w:rPr>
        <w:t xml:space="preserve"> </w:t>
      </w:r>
      <w:r w:rsidR="001C70BF" w:rsidRPr="004B502E">
        <w:rPr>
          <w:rFonts w:ascii="Times New Roman" w:hAnsi="Times New Roman" w:cs="Times New Roman"/>
          <w:sz w:val="24"/>
          <w:szCs w:val="24"/>
        </w:rPr>
        <w:t xml:space="preserve">represent the </w:t>
      </w:r>
      <w:r w:rsidR="007F65ED" w:rsidRPr="004B502E">
        <w:rPr>
          <w:rFonts w:ascii="Times New Roman" w:hAnsi="Times New Roman" w:cs="Times New Roman"/>
          <w:sz w:val="24"/>
          <w:szCs w:val="24"/>
        </w:rPr>
        <w:t>economic crisis of 20</w:t>
      </w:r>
      <w:r w:rsidR="001C70BF" w:rsidRPr="004B502E">
        <w:rPr>
          <w:rFonts w:ascii="Times New Roman" w:hAnsi="Times New Roman" w:cs="Times New Roman"/>
          <w:sz w:val="24"/>
          <w:szCs w:val="24"/>
        </w:rPr>
        <w:t>08 and the bank</w:t>
      </w:r>
      <w:r w:rsidR="00575E6F" w:rsidRPr="004B502E">
        <w:rPr>
          <w:rFonts w:ascii="Times New Roman" w:hAnsi="Times New Roman" w:cs="Times New Roman"/>
          <w:sz w:val="24"/>
          <w:szCs w:val="24"/>
        </w:rPr>
        <w:t>s</w:t>
      </w:r>
      <w:r w:rsidR="001C70BF" w:rsidRPr="004B502E">
        <w:rPr>
          <w:rFonts w:ascii="Times New Roman" w:hAnsi="Times New Roman" w:cs="Times New Roman"/>
          <w:sz w:val="24"/>
          <w:szCs w:val="24"/>
        </w:rPr>
        <w:t xml:space="preserve">’ maturity </w:t>
      </w:r>
      <w:r w:rsidR="00575E6F">
        <w:rPr>
          <w:rFonts w:ascii="Times New Roman" w:hAnsi="Times New Roman" w:cs="Times New Roman"/>
          <w:sz w:val="24"/>
          <w:szCs w:val="24"/>
        </w:rPr>
        <w:t>to</w:t>
      </w:r>
      <w:r w:rsidR="00575E6F" w:rsidRPr="004B502E">
        <w:rPr>
          <w:rFonts w:ascii="Times New Roman" w:hAnsi="Times New Roman" w:cs="Times New Roman"/>
          <w:sz w:val="24"/>
          <w:szCs w:val="24"/>
        </w:rPr>
        <w:t xml:space="preserve"> </w:t>
      </w:r>
      <w:r w:rsidR="001C70BF" w:rsidRPr="004B502E">
        <w:rPr>
          <w:rFonts w:ascii="Times New Roman" w:hAnsi="Times New Roman" w:cs="Times New Roman"/>
          <w:sz w:val="24"/>
          <w:szCs w:val="24"/>
        </w:rPr>
        <w:t>the analysis</w:t>
      </w:r>
      <w:r w:rsidR="00AA279F">
        <w:rPr>
          <w:rFonts w:ascii="Times New Roman" w:hAnsi="Times New Roman" w:cs="Times New Roman"/>
          <w:sz w:val="24"/>
          <w:szCs w:val="24"/>
        </w:rPr>
        <w:t>. T</w:t>
      </w:r>
      <w:r w:rsidR="00BD5DAD">
        <w:rPr>
          <w:rFonts w:ascii="Times New Roman" w:hAnsi="Times New Roman" w:cs="Times New Roman"/>
          <w:sz w:val="24"/>
          <w:szCs w:val="24"/>
        </w:rPr>
        <w:t xml:space="preserve">his study </w:t>
      </w:r>
      <w:r w:rsidR="00AA279F">
        <w:rPr>
          <w:rFonts w:ascii="Times New Roman" w:hAnsi="Times New Roman" w:cs="Times New Roman"/>
          <w:sz w:val="24"/>
          <w:szCs w:val="24"/>
        </w:rPr>
        <w:t xml:space="preserve">uses the data for </w:t>
      </w:r>
      <w:r w:rsidR="00B158F1" w:rsidRPr="004B502E">
        <w:rPr>
          <w:rFonts w:ascii="Times New Roman" w:hAnsi="Times New Roman" w:cs="Times New Roman"/>
          <w:sz w:val="24"/>
          <w:szCs w:val="24"/>
        </w:rPr>
        <w:t>1</w:t>
      </w:r>
      <w:r w:rsidR="001A3190" w:rsidRPr="004B502E">
        <w:rPr>
          <w:rFonts w:ascii="Times New Roman" w:hAnsi="Times New Roman" w:cs="Times New Roman"/>
          <w:sz w:val="24"/>
          <w:szCs w:val="24"/>
        </w:rPr>
        <w:t>6</w:t>
      </w:r>
      <w:r w:rsidR="004E4074" w:rsidRPr="004B502E">
        <w:rPr>
          <w:rFonts w:ascii="Times New Roman" w:hAnsi="Times New Roman" w:cs="Times New Roman"/>
          <w:sz w:val="24"/>
          <w:szCs w:val="24"/>
        </w:rPr>
        <w:t xml:space="preserve"> Malaysian </w:t>
      </w:r>
      <w:r w:rsidR="00852351">
        <w:rPr>
          <w:rFonts w:ascii="Times New Roman" w:hAnsi="Times New Roman" w:cs="Times New Roman"/>
          <w:sz w:val="24"/>
          <w:szCs w:val="24"/>
        </w:rPr>
        <w:t>Islamic banks</w:t>
      </w:r>
      <w:r w:rsidR="001A3190" w:rsidRPr="004B502E">
        <w:rPr>
          <w:rFonts w:ascii="Times New Roman" w:hAnsi="Times New Roman" w:cs="Times New Roman"/>
          <w:sz w:val="24"/>
          <w:szCs w:val="24"/>
        </w:rPr>
        <w:t xml:space="preserve"> for the </w:t>
      </w:r>
      <w:r w:rsidR="00AA279F">
        <w:rPr>
          <w:rFonts w:ascii="Times New Roman" w:hAnsi="Times New Roman" w:cs="Times New Roman"/>
          <w:sz w:val="24"/>
          <w:szCs w:val="24"/>
        </w:rPr>
        <w:t xml:space="preserve">period of </w:t>
      </w:r>
      <w:r w:rsidR="001A3190" w:rsidRPr="004B502E">
        <w:rPr>
          <w:rFonts w:ascii="Times New Roman" w:hAnsi="Times New Roman" w:cs="Times New Roman"/>
          <w:sz w:val="24"/>
          <w:szCs w:val="24"/>
        </w:rPr>
        <w:t>2005-2011</w:t>
      </w:r>
      <w:r w:rsidR="00F12FED" w:rsidRPr="004B502E">
        <w:rPr>
          <w:rFonts w:ascii="Times New Roman" w:hAnsi="Times New Roman" w:cs="Times New Roman"/>
          <w:sz w:val="24"/>
          <w:szCs w:val="24"/>
        </w:rPr>
        <w:t xml:space="preserve">. </w:t>
      </w:r>
      <w:r w:rsidR="00AA279F">
        <w:rPr>
          <w:rFonts w:ascii="Times New Roman" w:hAnsi="Times New Roman" w:cs="Times New Roman"/>
          <w:sz w:val="24"/>
          <w:szCs w:val="24"/>
        </w:rPr>
        <w:t>T</w:t>
      </w:r>
      <w:r w:rsidR="007F65ED" w:rsidRPr="004B502E">
        <w:rPr>
          <w:rFonts w:ascii="Times New Roman" w:hAnsi="Times New Roman" w:cs="Times New Roman"/>
          <w:sz w:val="24"/>
          <w:szCs w:val="24"/>
        </w:rPr>
        <w:t xml:space="preserve">he stepwise multiple regression analysis and the </w:t>
      </w:r>
      <w:r w:rsidR="00B158F1" w:rsidRPr="004B502E">
        <w:rPr>
          <w:rFonts w:ascii="Times New Roman" w:hAnsi="Times New Roman" w:cs="Times New Roman"/>
          <w:sz w:val="24"/>
          <w:szCs w:val="24"/>
        </w:rPr>
        <w:t>moderated multiple regression (MMR) analysis</w:t>
      </w:r>
      <w:r w:rsidR="00AA279F">
        <w:rPr>
          <w:rFonts w:ascii="Times New Roman" w:hAnsi="Times New Roman" w:cs="Times New Roman"/>
          <w:sz w:val="24"/>
          <w:szCs w:val="24"/>
        </w:rPr>
        <w:t xml:space="preserve"> will be used to analyze the data. </w:t>
      </w:r>
      <w:r w:rsidR="00B158F1" w:rsidRPr="004B502E">
        <w:rPr>
          <w:rFonts w:ascii="Times New Roman" w:hAnsi="Times New Roman" w:cs="Times New Roman"/>
          <w:sz w:val="24"/>
          <w:szCs w:val="24"/>
        </w:rPr>
        <w:t xml:space="preserve">  </w:t>
      </w:r>
      <w:r w:rsidR="004E4074" w:rsidRPr="004B502E">
        <w:rPr>
          <w:rFonts w:ascii="Times New Roman" w:hAnsi="Times New Roman" w:cs="Times New Roman"/>
          <w:sz w:val="24"/>
          <w:szCs w:val="24"/>
        </w:rPr>
        <w:t xml:space="preserve"> </w:t>
      </w:r>
    </w:p>
    <w:p w:rsidR="00AC7BF7" w:rsidRPr="004B502E" w:rsidRDefault="006D6A27" w:rsidP="005A57B8">
      <w:pPr>
        <w:spacing w:line="480" w:lineRule="auto"/>
        <w:ind w:firstLine="720"/>
        <w:rPr>
          <w:rFonts w:ascii="Times New Roman" w:hAnsi="Times New Roman" w:cs="Times New Roman"/>
          <w:sz w:val="24"/>
          <w:szCs w:val="24"/>
        </w:rPr>
      </w:pPr>
      <w:r w:rsidRPr="004B502E">
        <w:rPr>
          <w:rFonts w:ascii="Times New Roman" w:hAnsi="Times New Roman" w:cs="Times New Roman"/>
          <w:i/>
          <w:sz w:val="24"/>
          <w:szCs w:val="24"/>
        </w:rPr>
        <w:t>Keywords:</w:t>
      </w:r>
      <w:r w:rsidRPr="004B502E">
        <w:rPr>
          <w:rFonts w:ascii="Times New Roman" w:hAnsi="Times New Roman" w:cs="Times New Roman"/>
          <w:sz w:val="24"/>
          <w:szCs w:val="24"/>
        </w:rPr>
        <w:t xml:space="preserve"> Islamic </w:t>
      </w:r>
      <w:r w:rsidR="00575E6F">
        <w:rPr>
          <w:rFonts w:ascii="Times New Roman" w:hAnsi="Times New Roman" w:cs="Times New Roman"/>
          <w:sz w:val="24"/>
          <w:szCs w:val="24"/>
        </w:rPr>
        <w:t>b</w:t>
      </w:r>
      <w:r w:rsidRPr="004B502E">
        <w:rPr>
          <w:rFonts w:ascii="Times New Roman" w:hAnsi="Times New Roman" w:cs="Times New Roman"/>
          <w:sz w:val="24"/>
          <w:szCs w:val="24"/>
        </w:rPr>
        <w:t xml:space="preserve">anking, </w:t>
      </w:r>
      <w:r w:rsidR="00575E6F">
        <w:rPr>
          <w:rFonts w:ascii="Times New Roman" w:hAnsi="Times New Roman" w:cs="Times New Roman"/>
          <w:sz w:val="24"/>
          <w:szCs w:val="24"/>
        </w:rPr>
        <w:t>i</w:t>
      </w:r>
      <w:r w:rsidRPr="004B502E">
        <w:rPr>
          <w:rFonts w:ascii="Times New Roman" w:hAnsi="Times New Roman" w:cs="Times New Roman"/>
          <w:sz w:val="24"/>
          <w:szCs w:val="24"/>
        </w:rPr>
        <w:t xml:space="preserve">nternal </w:t>
      </w:r>
      <w:r w:rsidR="00575E6F">
        <w:rPr>
          <w:rFonts w:ascii="Times New Roman" w:hAnsi="Times New Roman" w:cs="Times New Roman"/>
          <w:sz w:val="24"/>
          <w:szCs w:val="24"/>
        </w:rPr>
        <w:t>b</w:t>
      </w:r>
      <w:r w:rsidRPr="004B502E">
        <w:rPr>
          <w:rFonts w:ascii="Times New Roman" w:hAnsi="Times New Roman" w:cs="Times New Roman"/>
          <w:sz w:val="24"/>
          <w:szCs w:val="24"/>
        </w:rPr>
        <w:t xml:space="preserve">anking </w:t>
      </w:r>
      <w:r w:rsidR="00575E6F">
        <w:rPr>
          <w:rFonts w:ascii="Times New Roman" w:hAnsi="Times New Roman" w:cs="Times New Roman"/>
          <w:sz w:val="24"/>
          <w:szCs w:val="24"/>
        </w:rPr>
        <w:t>r</w:t>
      </w:r>
      <w:r w:rsidRPr="004B502E">
        <w:rPr>
          <w:rFonts w:ascii="Times New Roman" w:hAnsi="Times New Roman" w:cs="Times New Roman"/>
          <w:sz w:val="24"/>
          <w:szCs w:val="24"/>
        </w:rPr>
        <w:t>atios,</w:t>
      </w:r>
      <w:r w:rsidR="00121E93" w:rsidRPr="004B502E">
        <w:rPr>
          <w:rFonts w:ascii="Times New Roman" w:hAnsi="Times New Roman" w:cs="Times New Roman"/>
          <w:sz w:val="24"/>
          <w:szCs w:val="24"/>
        </w:rPr>
        <w:t xml:space="preserve"> </w:t>
      </w:r>
      <w:r w:rsidR="00575E6F">
        <w:rPr>
          <w:rFonts w:ascii="Times New Roman" w:hAnsi="Times New Roman" w:cs="Times New Roman"/>
          <w:sz w:val="24"/>
          <w:szCs w:val="24"/>
        </w:rPr>
        <w:t>e</w:t>
      </w:r>
      <w:r w:rsidR="00121E93" w:rsidRPr="004B502E">
        <w:rPr>
          <w:rFonts w:ascii="Times New Roman" w:hAnsi="Times New Roman" w:cs="Times New Roman"/>
          <w:sz w:val="24"/>
          <w:szCs w:val="24"/>
        </w:rPr>
        <w:t xml:space="preserve">xternal </w:t>
      </w:r>
      <w:r w:rsidR="00575E6F">
        <w:rPr>
          <w:rFonts w:ascii="Times New Roman" w:hAnsi="Times New Roman" w:cs="Times New Roman"/>
          <w:sz w:val="24"/>
          <w:szCs w:val="24"/>
        </w:rPr>
        <w:t>r</w:t>
      </w:r>
      <w:r w:rsidR="00121E93" w:rsidRPr="004B502E">
        <w:rPr>
          <w:rFonts w:ascii="Times New Roman" w:hAnsi="Times New Roman" w:cs="Times New Roman"/>
          <w:sz w:val="24"/>
          <w:szCs w:val="24"/>
        </w:rPr>
        <w:t>atios,</w:t>
      </w:r>
      <w:r w:rsidRPr="004B502E">
        <w:rPr>
          <w:rFonts w:ascii="Times New Roman" w:hAnsi="Times New Roman" w:cs="Times New Roman"/>
          <w:sz w:val="24"/>
          <w:szCs w:val="24"/>
        </w:rPr>
        <w:t xml:space="preserve"> </w:t>
      </w:r>
      <w:r w:rsidR="00575E6F">
        <w:rPr>
          <w:rFonts w:ascii="Times New Roman" w:hAnsi="Times New Roman" w:cs="Times New Roman"/>
          <w:sz w:val="24"/>
          <w:szCs w:val="24"/>
        </w:rPr>
        <w:t>e</w:t>
      </w:r>
      <w:r w:rsidR="00121E93" w:rsidRPr="004B502E">
        <w:rPr>
          <w:rFonts w:ascii="Times New Roman" w:hAnsi="Times New Roman" w:cs="Times New Roman"/>
          <w:sz w:val="24"/>
          <w:szCs w:val="24"/>
        </w:rPr>
        <w:t xml:space="preserve">conomic </w:t>
      </w:r>
      <w:r w:rsidR="00575E6F">
        <w:rPr>
          <w:rFonts w:ascii="Times New Roman" w:hAnsi="Times New Roman" w:cs="Times New Roman"/>
          <w:sz w:val="24"/>
          <w:szCs w:val="24"/>
        </w:rPr>
        <w:t>r</w:t>
      </w:r>
      <w:r w:rsidRPr="004B502E">
        <w:rPr>
          <w:rFonts w:ascii="Times New Roman" w:hAnsi="Times New Roman" w:cs="Times New Roman"/>
          <w:sz w:val="24"/>
          <w:szCs w:val="24"/>
        </w:rPr>
        <w:t xml:space="preserve">ecession, </w:t>
      </w:r>
      <w:r w:rsidR="00575E6F">
        <w:rPr>
          <w:rFonts w:ascii="Times New Roman" w:hAnsi="Times New Roman" w:cs="Times New Roman"/>
          <w:sz w:val="24"/>
          <w:szCs w:val="24"/>
        </w:rPr>
        <w:t>c</w:t>
      </w:r>
      <w:r w:rsidR="00FB4152" w:rsidRPr="004B502E">
        <w:rPr>
          <w:rFonts w:ascii="Times New Roman" w:hAnsi="Times New Roman" w:cs="Times New Roman"/>
          <w:sz w:val="24"/>
          <w:szCs w:val="24"/>
        </w:rPr>
        <w:t xml:space="preserve">onventional </w:t>
      </w:r>
      <w:r w:rsidR="00575E6F">
        <w:rPr>
          <w:rFonts w:ascii="Times New Roman" w:hAnsi="Times New Roman" w:cs="Times New Roman"/>
          <w:sz w:val="24"/>
          <w:szCs w:val="24"/>
        </w:rPr>
        <w:t>b</w:t>
      </w:r>
      <w:r w:rsidR="00FB4152" w:rsidRPr="004B502E">
        <w:rPr>
          <w:rFonts w:ascii="Times New Roman" w:hAnsi="Times New Roman" w:cs="Times New Roman"/>
          <w:sz w:val="24"/>
          <w:szCs w:val="24"/>
        </w:rPr>
        <w:t>anking.</w:t>
      </w:r>
      <w:r w:rsidR="00870DD6" w:rsidRPr="004B502E">
        <w:rPr>
          <w:rFonts w:ascii="Times New Roman" w:hAnsi="Times New Roman" w:cs="Times New Roman"/>
          <w:sz w:val="24"/>
          <w:szCs w:val="24"/>
        </w:rPr>
        <w:t xml:space="preserve"> </w:t>
      </w:r>
    </w:p>
    <w:p w:rsidR="00830DAD" w:rsidRPr="004B502E" w:rsidRDefault="00830DAD" w:rsidP="008660C5">
      <w:pPr>
        <w:spacing w:line="480" w:lineRule="auto"/>
        <w:jc w:val="center"/>
        <w:rPr>
          <w:rFonts w:ascii="Times New Roman" w:hAnsi="Times New Roman" w:cs="Times New Roman"/>
          <w:b/>
          <w:sz w:val="24"/>
          <w:szCs w:val="24"/>
        </w:rPr>
      </w:pPr>
    </w:p>
    <w:p w:rsidR="00830DAD" w:rsidRPr="004B502E" w:rsidRDefault="00830DAD" w:rsidP="008660C5">
      <w:pPr>
        <w:spacing w:line="480" w:lineRule="auto"/>
        <w:jc w:val="center"/>
        <w:rPr>
          <w:rFonts w:ascii="Times New Roman" w:hAnsi="Times New Roman" w:cs="Times New Roman"/>
          <w:b/>
          <w:sz w:val="24"/>
          <w:szCs w:val="24"/>
        </w:rPr>
      </w:pPr>
    </w:p>
    <w:p w:rsidR="00FE052E" w:rsidRPr="004B502E" w:rsidRDefault="00FE052E" w:rsidP="008660C5">
      <w:pPr>
        <w:spacing w:line="480" w:lineRule="auto"/>
        <w:jc w:val="center"/>
        <w:rPr>
          <w:rFonts w:ascii="Times New Roman" w:hAnsi="Times New Roman" w:cs="Times New Roman"/>
          <w:b/>
          <w:sz w:val="24"/>
          <w:szCs w:val="24"/>
        </w:rPr>
      </w:pPr>
    </w:p>
    <w:p w:rsidR="00FE052E" w:rsidRPr="004B502E" w:rsidRDefault="00FE052E" w:rsidP="008660C5">
      <w:pPr>
        <w:spacing w:line="480" w:lineRule="auto"/>
        <w:jc w:val="center"/>
        <w:rPr>
          <w:rFonts w:ascii="Times New Roman" w:hAnsi="Times New Roman" w:cs="Times New Roman"/>
          <w:b/>
          <w:sz w:val="24"/>
          <w:szCs w:val="24"/>
        </w:rPr>
      </w:pPr>
    </w:p>
    <w:p w:rsidR="00C8713C" w:rsidRPr="004B502E" w:rsidRDefault="00C8713C" w:rsidP="00960E26">
      <w:pPr>
        <w:spacing w:line="480" w:lineRule="auto"/>
        <w:rPr>
          <w:rFonts w:ascii="Times New Roman" w:hAnsi="Times New Roman" w:cs="Times New Roman"/>
          <w:b/>
          <w:sz w:val="24"/>
          <w:szCs w:val="24"/>
        </w:rPr>
      </w:pPr>
      <w:bookmarkStart w:id="3" w:name="_Toc327132063"/>
    </w:p>
    <w:p w:rsidR="00F46F15" w:rsidRPr="004B502E" w:rsidRDefault="00F46F15" w:rsidP="00F12FED">
      <w:pPr>
        <w:spacing w:line="480" w:lineRule="auto"/>
        <w:rPr>
          <w:rFonts w:ascii="Times New Roman" w:hAnsi="Times New Roman" w:cs="Times New Roman"/>
          <w:b/>
          <w:sz w:val="24"/>
          <w:szCs w:val="24"/>
        </w:rPr>
      </w:pPr>
    </w:p>
    <w:p w:rsidR="007F65ED" w:rsidRPr="004B502E" w:rsidRDefault="007F65ED" w:rsidP="00F12FED">
      <w:pPr>
        <w:spacing w:line="480" w:lineRule="auto"/>
        <w:rPr>
          <w:rFonts w:ascii="Times New Roman" w:hAnsi="Times New Roman" w:cs="Times New Roman"/>
          <w:b/>
          <w:sz w:val="24"/>
          <w:szCs w:val="24"/>
        </w:rPr>
      </w:pPr>
    </w:p>
    <w:p w:rsidR="007F65ED" w:rsidRPr="004B502E" w:rsidRDefault="000F6B80" w:rsidP="000F6B80">
      <w:pPr>
        <w:tabs>
          <w:tab w:val="left" w:pos="5130"/>
        </w:tabs>
        <w:spacing w:line="480" w:lineRule="auto"/>
        <w:rPr>
          <w:rFonts w:ascii="Times New Roman" w:hAnsi="Times New Roman" w:cs="Times New Roman"/>
          <w:b/>
          <w:sz w:val="24"/>
          <w:szCs w:val="24"/>
        </w:rPr>
      </w:pPr>
      <w:r>
        <w:rPr>
          <w:rFonts w:ascii="Times New Roman" w:hAnsi="Times New Roman" w:cs="Times New Roman"/>
          <w:b/>
          <w:sz w:val="24"/>
          <w:szCs w:val="24"/>
        </w:rPr>
        <w:tab/>
      </w:r>
    </w:p>
    <w:p w:rsidR="004B502E" w:rsidRPr="004B502E" w:rsidRDefault="004B502E" w:rsidP="00F12FED">
      <w:pPr>
        <w:spacing w:line="480" w:lineRule="auto"/>
        <w:rPr>
          <w:rFonts w:ascii="Times New Roman" w:hAnsi="Times New Roman" w:cs="Times New Roman"/>
          <w:b/>
          <w:sz w:val="24"/>
          <w:szCs w:val="24"/>
        </w:rPr>
      </w:pPr>
    </w:p>
    <w:sdt>
      <w:sdtPr>
        <w:rPr>
          <w:rFonts w:asciiTheme="minorHAnsi" w:eastAsiaTheme="minorEastAsia" w:hAnsiTheme="minorHAnsi" w:cstheme="minorBidi"/>
          <w:b w:val="0"/>
          <w:bCs w:val="0"/>
          <w:color w:val="auto"/>
          <w:sz w:val="22"/>
          <w:szCs w:val="22"/>
        </w:rPr>
        <w:id w:val="10251762"/>
        <w:docPartObj>
          <w:docPartGallery w:val="Table of Contents"/>
          <w:docPartUnique/>
        </w:docPartObj>
      </w:sdtPr>
      <w:sdtEndPr>
        <w:rPr>
          <w:lang w:val="ru-RU"/>
        </w:rPr>
      </w:sdtEndPr>
      <w:sdtContent>
        <w:p w:rsidR="00E6544D" w:rsidRPr="00B76321" w:rsidRDefault="00E6544D" w:rsidP="00E6544D">
          <w:pPr>
            <w:pStyle w:val="TOCHeading"/>
            <w:jc w:val="center"/>
            <w:rPr>
              <w:rFonts w:ascii="Times New Roman" w:hAnsi="Times New Roman" w:cs="Times New Roman"/>
              <w:sz w:val="24"/>
              <w:szCs w:val="24"/>
            </w:rPr>
          </w:pPr>
          <w:r w:rsidRPr="00B76321">
            <w:rPr>
              <w:rFonts w:ascii="Times New Roman" w:hAnsi="Times New Roman" w:cs="Times New Roman"/>
              <w:b w:val="0"/>
              <w:color w:val="auto"/>
              <w:sz w:val="24"/>
              <w:szCs w:val="24"/>
            </w:rPr>
            <w:t>Contents</w:t>
          </w:r>
        </w:p>
        <w:p w:rsidR="003D3DE0" w:rsidRDefault="001D1018">
          <w:pPr>
            <w:pStyle w:val="TOC1"/>
            <w:tabs>
              <w:tab w:val="right" w:leader="dot" w:pos="8630"/>
            </w:tabs>
            <w:rPr>
              <w:noProof/>
              <w:lang w:val="ru-RU" w:eastAsia="ru-RU"/>
            </w:rPr>
          </w:pPr>
          <w:r w:rsidRPr="00B76321">
            <w:rPr>
              <w:rFonts w:ascii="Times New Roman" w:hAnsi="Times New Roman" w:cs="Times New Roman"/>
              <w:sz w:val="24"/>
              <w:szCs w:val="24"/>
              <w:lang w:val="ru-RU"/>
            </w:rPr>
            <w:fldChar w:fldCharType="begin"/>
          </w:r>
          <w:r w:rsidR="00E6544D" w:rsidRPr="00B76321">
            <w:rPr>
              <w:rFonts w:ascii="Times New Roman" w:hAnsi="Times New Roman" w:cs="Times New Roman"/>
              <w:sz w:val="24"/>
              <w:szCs w:val="24"/>
              <w:lang w:val="ru-RU"/>
            </w:rPr>
            <w:instrText xml:space="preserve"> TOC \o "1-3" \h \z \u </w:instrText>
          </w:r>
          <w:r w:rsidRPr="00B76321">
            <w:rPr>
              <w:rFonts w:ascii="Times New Roman" w:hAnsi="Times New Roman" w:cs="Times New Roman"/>
              <w:sz w:val="24"/>
              <w:szCs w:val="24"/>
              <w:lang w:val="ru-RU"/>
            </w:rPr>
            <w:fldChar w:fldCharType="separate"/>
          </w:r>
          <w:hyperlink w:anchor="_Toc346718424" w:history="1">
            <w:r w:rsidR="003D3DE0" w:rsidRPr="00B3091D">
              <w:rPr>
                <w:rStyle w:val="Hyperlink"/>
                <w:rFonts w:ascii="Times New Roman" w:hAnsi="Times New Roman" w:cs="Times New Roman"/>
                <w:noProof/>
              </w:rPr>
              <w:t>Abstract</w:t>
            </w:r>
            <w:r w:rsidR="003D3DE0">
              <w:rPr>
                <w:noProof/>
                <w:webHidden/>
              </w:rPr>
              <w:tab/>
            </w:r>
            <w:r w:rsidR="003D3DE0">
              <w:rPr>
                <w:noProof/>
                <w:webHidden/>
              </w:rPr>
              <w:fldChar w:fldCharType="begin"/>
            </w:r>
            <w:r w:rsidR="003D3DE0">
              <w:rPr>
                <w:noProof/>
                <w:webHidden/>
              </w:rPr>
              <w:instrText xml:space="preserve"> PAGEREF _Toc346718424 \h </w:instrText>
            </w:r>
            <w:r w:rsidR="003D3DE0">
              <w:rPr>
                <w:noProof/>
                <w:webHidden/>
              </w:rPr>
            </w:r>
            <w:r w:rsidR="003D3DE0">
              <w:rPr>
                <w:noProof/>
                <w:webHidden/>
              </w:rPr>
              <w:fldChar w:fldCharType="separate"/>
            </w:r>
            <w:r w:rsidR="003D3DE0">
              <w:rPr>
                <w:noProof/>
                <w:webHidden/>
              </w:rPr>
              <w:t>2</w:t>
            </w:r>
            <w:r w:rsidR="003D3DE0">
              <w:rPr>
                <w:noProof/>
                <w:webHidden/>
              </w:rPr>
              <w:fldChar w:fldCharType="end"/>
            </w:r>
          </w:hyperlink>
        </w:p>
        <w:p w:rsidR="003D3DE0" w:rsidRDefault="007F7C4D">
          <w:pPr>
            <w:pStyle w:val="TOC1"/>
            <w:tabs>
              <w:tab w:val="right" w:leader="dot" w:pos="8630"/>
            </w:tabs>
            <w:rPr>
              <w:noProof/>
              <w:lang w:val="ru-RU" w:eastAsia="ru-RU"/>
            </w:rPr>
          </w:pPr>
          <w:hyperlink w:anchor="_Toc346718425" w:history="1">
            <w:r w:rsidR="003D3DE0" w:rsidRPr="00B3091D">
              <w:rPr>
                <w:rStyle w:val="Hyperlink"/>
                <w:rFonts w:ascii="Times New Roman" w:hAnsi="Times New Roman" w:cs="Times New Roman"/>
                <w:noProof/>
              </w:rPr>
              <w:t>1.0. Introduction</w:t>
            </w:r>
            <w:r w:rsidR="003D3DE0">
              <w:rPr>
                <w:noProof/>
                <w:webHidden/>
              </w:rPr>
              <w:tab/>
            </w:r>
            <w:r w:rsidR="003D3DE0">
              <w:rPr>
                <w:noProof/>
                <w:webHidden/>
              </w:rPr>
              <w:fldChar w:fldCharType="begin"/>
            </w:r>
            <w:r w:rsidR="003D3DE0">
              <w:rPr>
                <w:noProof/>
                <w:webHidden/>
              </w:rPr>
              <w:instrText xml:space="preserve"> PAGEREF _Toc346718425 \h </w:instrText>
            </w:r>
            <w:r w:rsidR="003D3DE0">
              <w:rPr>
                <w:noProof/>
                <w:webHidden/>
              </w:rPr>
            </w:r>
            <w:r w:rsidR="003D3DE0">
              <w:rPr>
                <w:noProof/>
                <w:webHidden/>
              </w:rPr>
              <w:fldChar w:fldCharType="separate"/>
            </w:r>
            <w:r w:rsidR="003D3DE0">
              <w:rPr>
                <w:noProof/>
                <w:webHidden/>
              </w:rPr>
              <w:t>4</w:t>
            </w:r>
            <w:r w:rsidR="003D3DE0">
              <w:rPr>
                <w:noProof/>
                <w:webHidden/>
              </w:rPr>
              <w:fldChar w:fldCharType="end"/>
            </w:r>
          </w:hyperlink>
        </w:p>
        <w:p w:rsidR="003D3DE0" w:rsidRDefault="007F7C4D">
          <w:pPr>
            <w:pStyle w:val="TOC2"/>
            <w:tabs>
              <w:tab w:val="right" w:leader="dot" w:pos="8630"/>
            </w:tabs>
            <w:rPr>
              <w:noProof/>
              <w:lang w:val="ru-RU" w:eastAsia="ru-RU"/>
            </w:rPr>
          </w:pPr>
          <w:hyperlink w:anchor="_Toc346718426" w:history="1">
            <w:r w:rsidR="003D3DE0" w:rsidRPr="00B3091D">
              <w:rPr>
                <w:rStyle w:val="Hyperlink"/>
                <w:rFonts w:ascii="Times New Roman" w:hAnsi="Times New Roman" w:cs="Times New Roman"/>
                <w:noProof/>
              </w:rPr>
              <w:t>1.1. Background and Motivation</w:t>
            </w:r>
            <w:r w:rsidR="003D3DE0">
              <w:rPr>
                <w:noProof/>
                <w:webHidden/>
              </w:rPr>
              <w:tab/>
            </w:r>
            <w:r w:rsidR="003D3DE0">
              <w:rPr>
                <w:noProof/>
                <w:webHidden/>
              </w:rPr>
              <w:fldChar w:fldCharType="begin"/>
            </w:r>
            <w:r w:rsidR="003D3DE0">
              <w:rPr>
                <w:noProof/>
                <w:webHidden/>
              </w:rPr>
              <w:instrText xml:space="preserve"> PAGEREF _Toc346718426 \h </w:instrText>
            </w:r>
            <w:r w:rsidR="003D3DE0">
              <w:rPr>
                <w:noProof/>
                <w:webHidden/>
              </w:rPr>
            </w:r>
            <w:r w:rsidR="003D3DE0">
              <w:rPr>
                <w:noProof/>
                <w:webHidden/>
              </w:rPr>
              <w:fldChar w:fldCharType="separate"/>
            </w:r>
            <w:r w:rsidR="003D3DE0">
              <w:rPr>
                <w:noProof/>
                <w:webHidden/>
              </w:rPr>
              <w:t>4</w:t>
            </w:r>
            <w:r w:rsidR="003D3DE0">
              <w:rPr>
                <w:noProof/>
                <w:webHidden/>
              </w:rPr>
              <w:fldChar w:fldCharType="end"/>
            </w:r>
          </w:hyperlink>
        </w:p>
        <w:p w:rsidR="003D3DE0" w:rsidRDefault="007F7C4D">
          <w:pPr>
            <w:pStyle w:val="TOC2"/>
            <w:tabs>
              <w:tab w:val="right" w:leader="dot" w:pos="8630"/>
            </w:tabs>
            <w:rPr>
              <w:noProof/>
              <w:lang w:val="ru-RU" w:eastAsia="ru-RU"/>
            </w:rPr>
          </w:pPr>
          <w:hyperlink w:anchor="_Toc346718427" w:history="1">
            <w:r w:rsidR="003D3DE0" w:rsidRPr="00B3091D">
              <w:rPr>
                <w:rStyle w:val="Hyperlink"/>
                <w:rFonts w:ascii="Times New Roman" w:hAnsi="Times New Roman" w:cs="Times New Roman"/>
                <w:noProof/>
              </w:rPr>
              <w:t>1.2. Objectives and Implications</w:t>
            </w:r>
            <w:r w:rsidR="003D3DE0">
              <w:rPr>
                <w:noProof/>
                <w:webHidden/>
              </w:rPr>
              <w:tab/>
            </w:r>
            <w:r w:rsidR="003D3DE0">
              <w:rPr>
                <w:noProof/>
                <w:webHidden/>
              </w:rPr>
              <w:fldChar w:fldCharType="begin"/>
            </w:r>
            <w:r w:rsidR="003D3DE0">
              <w:rPr>
                <w:noProof/>
                <w:webHidden/>
              </w:rPr>
              <w:instrText xml:space="preserve"> PAGEREF _Toc346718427 \h </w:instrText>
            </w:r>
            <w:r w:rsidR="003D3DE0">
              <w:rPr>
                <w:noProof/>
                <w:webHidden/>
              </w:rPr>
            </w:r>
            <w:r w:rsidR="003D3DE0">
              <w:rPr>
                <w:noProof/>
                <w:webHidden/>
              </w:rPr>
              <w:fldChar w:fldCharType="separate"/>
            </w:r>
            <w:r w:rsidR="003D3DE0">
              <w:rPr>
                <w:noProof/>
                <w:webHidden/>
              </w:rPr>
              <w:t>5</w:t>
            </w:r>
            <w:r w:rsidR="003D3DE0">
              <w:rPr>
                <w:noProof/>
                <w:webHidden/>
              </w:rPr>
              <w:fldChar w:fldCharType="end"/>
            </w:r>
          </w:hyperlink>
        </w:p>
        <w:p w:rsidR="003D3DE0" w:rsidRDefault="007F7C4D">
          <w:pPr>
            <w:pStyle w:val="TOC2"/>
            <w:tabs>
              <w:tab w:val="right" w:leader="dot" w:pos="8630"/>
            </w:tabs>
            <w:rPr>
              <w:noProof/>
              <w:lang w:val="ru-RU" w:eastAsia="ru-RU"/>
            </w:rPr>
          </w:pPr>
          <w:hyperlink w:anchor="_Toc346718428" w:history="1">
            <w:r w:rsidR="003D3DE0" w:rsidRPr="00B3091D">
              <w:rPr>
                <w:rStyle w:val="Hyperlink"/>
                <w:rFonts w:ascii="Times New Roman" w:hAnsi="Times New Roman" w:cs="Times New Roman"/>
                <w:noProof/>
              </w:rPr>
              <w:t>1.3. Structure</w:t>
            </w:r>
            <w:r w:rsidR="003D3DE0">
              <w:rPr>
                <w:noProof/>
                <w:webHidden/>
              </w:rPr>
              <w:tab/>
            </w:r>
            <w:r w:rsidR="003D3DE0">
              <w:rPr>
                <w:noProof/>
                <w:webHidden/>
              </w:rPr>
              <w:fldChar w:fldCharType="begin"/>
            </w:r>
            <w:r w:rsidR="003D3DE0">
              <w:rPr>
                <w:noProof/>
                <w:webHidden/>
              </w:rPr>
              <w:instrText xml:space="preserve"> PAGEREF _Toc346718428 \h </w:instrText>
            </w:r>
            <w:r w:rsidR="003D3DE0">
              <w:rPr>
                <w:noProof/>
                <w:webHidden/>
              </w:rPr>
            </w:r>
            <w:r w:rsidR="003D3DE0">
              <w:rPr>
                <w:noProof/>
                <w:webHidden/>
              </w:rPr>
              <w:fldChar w:fldCharType="separate"/>
            </w:r>
            <w:r w:rsidR="003D3DE0">
              <w:rPr>
                <w:noProof/>
                <w:webHidden/>
              </w:rPr>
              <w:t>8</w:t>
            </w:r>
            <w:r w:rsidR="003D3DE0">
              <w:rPr>
                <w:noProof/>
                <w:webHidden/>
              </w:rPr>
              <w:fldChar w:fldCharType="end"/>
            </w:r>
          </w:hyperlink>
        </w:p>
        <w:p w:rsidR="003D3DE0" w:rsidRDefault="007F7C4D">
          <w:pPr>
            <w:pStyle w:val="TOC1"/>
            <w:tabs>
              <w:tab w:val="right" w:leader="dot" w:pos="8630"/>
            </w:tabs>
            <w:rPr>
              <w:noProof/>
              <w:lang w:val="ru-RU" w:eastAsia="ru-RU"/>
            </w:rPr>
          </w:pPr>
          <w:hyperlink w:anchor="_Toc346718429" w:history="1">
            <w:r w:rsidR="003D3DE0" w:rsidRPr="00B3091D">
              <w:rPr>
                <w:rStyle w:val="Hyperlink"/>
                <w:rFonts w:ascii="Times New Roman" w:hAnsi="Times New Roman" w:cs="Times New Roman"/>
                <w:noProof/>
              </w:rPr>
              <w:t>2.0. Literature Review</w:t>
            </w:r>
            <w:r w:rsidR="003D3DE0">
              <w:rPr>
                <w:noProof/>
                <w:webHidden/>
              </w:rPr>
              <w:tab/>
            </w:r>
            <w:r w:rsidR="003D3DE0">
              <w:rPr>
                <w:noProof/>
                <w:webHidden/>
              </w:rPr>
              <w:fldChar w:fldCharType="begin"/>
            </w:r>
            <w:r w:rsidR="003D3DE0">
              <w:rPr>
                <w:noProof/>
                <w:webHidden/>
              </w:rPr>
              <w:instrText xml:space="preserve"> PAGEREF _Toc346718429 \h </w:instrText>
            </w:r>
            <w:r w:rsidR="003D3DE0">
              <w:rPr>
                <w:noProof/>
                <w:webHidden/>
              </w:rPr>
            </w:r>
            <w:r w:rsidR="003D3DE0">
              <w:rPr>
                <w:noProof/>
                <w:webHidden/>
              </w:rPr>
              <w:fldChar w:fldCharType="separate"/>
            </w:r>
            <w:r w:rsidR="003D3DE0">
              <w:rPr>
                <w:noProof/>
                <w:webHidden/>
              </w:rPr>
              <w:t>9</w:t>
            </w:r>
            <w:r w:rsidR="003D3DE0">
              <w:rPr>
                <w:noProof/>
                <w:webHidden/>
              </w:rPr>
              <w:fldChar w:fldCharType="end"/>
            </w:r>
          </w:hyperlink>
        </w:p>
        <w:p w:rsidR="003D3DE0" w:rsidRDefault="007F7C4D">
          <w:pPr>
            <w:pStyle w:val="TOC2"/>
            <w:tabs>
              <w:tab w:val="right" w:leader="dot" w:pos="8630"/>
            </w:tabs>
            <w:rPr>
              <w:noProof/>
              <w:lang w:val="ru-RU" w:eastAsia="ru-RU"/>
            </w:rPr>
          </w:pPr>
          <w:hyperlink w:anchor="_Toc346718430" w:history="1">
            <w:r w:rsidR="003D3DE0" w:rsidRPr="00B3091D">
              <w:rPr>
                <w:rStyle w:val="Hyperlink"/>
                <w:rFonts w:ascii="Times New Roman" w:hAnsi="Times New Roman" w:cs="Times New Roman"/>
                <w:noProof/>
              </w:rPr>
              <w:t>2.1. Studies Conducted on Conventional Banks</w:t>
            </w:r>
            <w:r w:rsidR="003D3DE0">
              <w:rPr>
                <w:noProof/>
                <w:webHidden/>
              </w:rPr>
              <w:tab/>
            </w:r>
            <w:r w:rsidR="003D3DE0">
              <w:rPr>
                <w:noProof/>
                <w:webHidden/>
              </w:rPr>
              <w:fldChar w:fldCharType="begin"/>
            </w:r>
            <w:r w:rsidR="003D3DE0">
              <w:rPr>
                <w:noProof/>
                <w:webHidden/>
              </w:rPr>
              <w:instrText xml:space="preserve"> PAGEREF _Toc346718430 \h </w:instrText>
            </w:r>
            <w:r w:rsidR="003D3DE0">
              <w:rPr>
                <w:noProof/>
                <w:webHidden/>
              </w:rPr>
            </w:r>
            <w:r w:rsidR="003D3DE0">
              <w:rPr>
                <w:noProof/>
                <w:webHidden/>
              </w:rPr>
              <w:fldChar w:fldCharType="separate"/>
            </w:r>
            <w:r w:rsidR="003D3DE0">
              <w:rPr>
                <w:noProof/>
                <w:webHidden/>
              </w:rPr>
              <w:t>9</w:t>
            </w:r>
            <w:r w:rsidR="003D3DE0">
              <w:rPr>
                <w:noProof/>
                <w:webHidden/>
              </w:rPr>
              <w:fldChar w:fldCharType="end"/>
            </w:r>
          </w:hyperlink>
        </w:p>
        <w:p w:rsidR="003D3DE0" w:rsidRDefault="007F7C4D">
          <w:pPr>
            <w:pStyle w:val="TOC2"/>
            <w:tabs>
              <w:tab w:val="right" w:leader="dot" w:pos="8630"/>
            </w:tabs>
            <w:rPr>
              <w:noProof/>
              <w:lang w:val="ru-RU" w:eastAsia="ru-RU"/>
            </w:rPr>
          </w:pPr>
          <w:hyperlink w:anchor="_Toc346718431" w:history="1">
            <w:r w:rsidR="003D3DE0" w:rsidRPr="00B3091D">
              <w:rPr>
                <w:rStyle w:val="Hyperlink"/>
                <w:rFonts w:ascii="Times New Roman" w:hAnsi="Times New Roman" w:cs="Times New Roman"/>
                <w:noProof/>
              </w:rPr>
              <w:t>2.2. Studies Conducted on Islamic Banks</w:t>
            </w:r>
            <w:r w:rsidR="003D3DE0">
              <w:rPr>
                <w:noProof/>
                <w:webHidden/>
              </w:rPr>
              <w:tab/>
            </w:r>
            <w:r w:rsidR="003D3DE0">
              <w:rPr>
                <w:noProof/>
                <w:webHidden/>
              </w:rPr>
              <w:fldChar w:fldCharType="begin"/>
            </w:r>
            <w:r w:rsidR="003D3DE0">
              <w:rPr>
                <w:noProof/>
                <w:webHidden/>
              </w:rPr>
              <w:instrText xml:space="preserve"> PAGEREF _Toc346718431 \h </w:instrText>
            </w:r>
            <w:r w:rsidR="003D3DE0">
              <w:rPr>
                <w:noProof/>
                <w:webHidden/>
              </w:rPr>
            </w:r>
            <w:r w:rsidR="003D3DE0">
              <w:rPr>
                <w:noProof/>
                <w:webHidden/>
              </w:rPr>
              <w:fldChar w:fldCharType="separate"/>
            </w:r>
            <w:r w:rsidR="003D3DE0">
              <w:rPr>
                <w:noProof/>
                <w:webHidden/>
              </w:rPr>
              <w:t>9</w:t>
            </w:r>
            <w:r w:rsidR="003D3DE0">
              <w:rPr>
                <w:noProof/>
                <w:webHidden/>
              </w:rPr>
              <w:fldChar w:fldCharType="end"/>
            </w:r>
          </w:hyperlink>
        </w:p>
        <w:p w:rsidR="003D3DE0" w:rsidRDefault="007F7C4D">
          <w:pPr>
            <w:pStyle w:val="TOC2"/>
            <w:tabs>
              <w:tab w:val="right" w:leader="dot" w:pos="8630"/>
            </w:tabs>
            <w:rPr>
              <w:noProof/>
              <w:lang w:val="ru-RU" w:eastAsia="ru-RU"/>
            </w:rPr>
          </w:pPr>
          <w:hyperlink w:anchor="_Toc346718432" w:history="1">
            <w:r w:rsidR="003D3DE0" w:rsidRPr="00B3091D">
              <w:rPr>
                <w:rStyle w:val="Hyperlink"/>
                <w:rFonts w:ascii="Times New Roman" w:hAnsi="Times New Roman" w:cs="Times New Roman"/>
                <w:noProof/>
              </w:rPr>
              <w:t>2.3. Studies Conducted on Malaysian Islamic Banks</w:t>
            </w:r>
            <w:r w:rsidR="003D3DE0">
              <w:rPr>
                <w:noProof/>
                <w:webHidden/>
              </w:rPr>
              <w:tab/>
            </w:r>
            <w:r w:rsidR="003D3DE0">
              <w:rPr>
                <w:noProof/>
                <w:webHidden/>
              </w:rPr>
              <w:fldChar w:fldCharType="begin"/>
            </w:r>
            <w:r w:rsidR="003D3DE0">
              <w:rPr>
                <w:noProof/>
                <w:webHidden/>
              </w:rPr>
              <w:instrText xml:space="preserve"> PAGEREF _Toc346718432 \h </w:instrText>
            </w:r>
            <w:r w:rsidR="003D3DE0">
              <w:rPr>
                <w:noProof/>
                <w:webHidden/>
              </w:rPr>
            </w:r>
            <w:r w:rsidR="003D3DE0">
              <w:rPr>
                <w:noProof/>
                <w:webHidden/>
              </w:rPr>
              <w:fldChar w:fldCharType="separate"/>
            </w:r>
            <w:r w:rsidR="003D3DE0">
              <w:rPr>
                <w:noProof/>
                <w:webHidden/>
              </w:rPr>
              <w:t>13</w:t>
            </w:r>
            <w:r w:rsidR="003D3DE0">
              <w:rPr>
                <w:noProof/>
                <w:webHidden/>
              </w:rPr>
              <w:fldChar w:fldCharType="end"/>
            </w:r>
          </w:hyperlink>
        </w:p>
        <w:p w:rsidR="003D3DE0" w:rsidRDefault="007F7C4D">
          <w:pPr>
            <w:pStyle w:val="TOC2"/>
            <w:tabs>
              <w:tab w:val="right" w:leader="dot" w:pos="8630"/>
            </w:tabs>
            <w:rPr>
              <w:noProof/>
              <w:lang w:val="ru-RU" w:eastAsia="ru-RU"/>
            </w:rPr>
          </w:pPr>
          <w:hyperlink w:anchor="_Toc346718433" w:history="1">
            <w:r w:rsidR="003D3DE0" w:rsidRPr="00B3091D">
              <w:rPr>
                <w:rStyle w:val="Hyperlink"/>
                <w:rFonts w:ascii="Times New Roman" w:hAnsi="Times New Roman" w:cs="Times New Roman"/>
                <w:noProof/>
              </w:rPr>
              <w:t>2.4. Financial Crisis of 2008 and Islamic Banks</w:t>
            </w:r>
            <w:r w:rsidR="003D3DE0">
              <w:rPr>
                <w:noProof/>
                <w:webHidden/>
              </w:rPr>
              <w:tab/>
            </w:r>
            <w:r w:rsidR="003D3DE0">
              <w:rPr>
                <w:noProof/>
                <w:webHidden/>
              </w:rPr>
              <w:fldChar w:fldCharType="begin"/>
            </w:r>
            <w:r w:rsidR="003D3DE0">
              <w:rPr>
                <w:noProof/>
                <w:webHidden/>
              </w:rPr>
              <w:instrText xml:space="preserve"> PAGEREF _Toc346718433 \h </w:instrText>
            </w:r>
            <w:r w:rsidR="003D3DE0">
              <w:rPr>
                <w:noProof/>
                <w:webHidden/>
              </w:rPr>
            </w:r>
            <w:r w:rsidR="003D3DE0">
              <w:rPr>
                <w:noProof/>
                <w:webHidden/>
              </w:rPr>
              <w:fldChar w:fldCharType="separate"/>
            </w:r>
            <w:r w:rsidR="003D3DE0">
              <w:rPr>
                <w:noProof/>
                <w:webHidden/>
              </w:rPr>
              <w:t>15</w:t>
            </w:r>
            <w:r w:rsidR="003D3DE0">
              <w:rPr>
                <w:noProof/>
                <w:webHidden/>
              </w:rPr>
              <w:fldChar w:fldCharType="end"/>
            </w:r>
          </w:hyperlink>
        </w:p>
        <w:p w:rsidR="003D3DE0" w:rsidRDefault="007F7C4D">
          <w:pPr>
            <w:pStyle w:val="TOC1"/>
            <w:tabs>
              <w:tab w:val="right" w:leader="dot" w:pos="8630"/>
            </w:tabs>
            <w:rPr>
              <w:noProof/>
              <w:lang w:val="ru-RU" w:eastAsia="ru-RU"/>
            </w:rPr>
          </w:pPr>
          <w:hyperlink w:anchor="_Toc346718434" w:history="1">
            <w:r w:rsidR="003D3DE0" w:rsidRPr="00B3091D">
              <w:rPr>
                <w:rStyle w:val="Hyperlink"/>
                <w:rFonts w:ascii="Times New Roman" w:hAnsi="Times New Roman" w:cs="Times New Roman"/>
                <w:noProof/>
              </w:rPr>
              <w:t>3.0. Methodology</w:t>
            </w:r>
            <w:r w:rsidR="003D3DE0">
              <w:rPr>
                <w:noProof/>
                <w:webHidden/>
              </w:rPr>
              <w:tab/>
            </w:r>
            <w:r w:rsidR="003D3DE0">
              <w:rPr>
                <w:noProof/>
                <w:webHidden/>
              </w:rPr>
              <w:fldChar w:fldCharType="begin"/>
            </w:r>
            <w:r w:rsidR="003D3DE0">
              <w:rPr>
                <w:noProof/>
                <w:webHidden/>
              </w:rPr>
              <w:instrText xml:space="preserve"> PAGEREF _Toc346718434 \h </w:instrText>
            </w:r>
            <w:r w:rsidR="003D3DE0">
              <w:rPr>
                <w:noProof/>
                <w:webHidden/>
              </w:rPr>
            </w:r>
            <w:r w:rsidR="003D3DE0">
              <w:rPr>
                <w:noProof/>
                <w:webHidden/>
              </w:rPr>
              <w:fldChar w:fldCharType="separate"/>
            </w:r>
            <w:r w:rsidR="003D3DE0">
              <w:rPr>
                <w:noProof/>
                <w:webHidden/>
              </w:rPr>
              <w:t>19</w:t>
            </w:r>
            <w:r w:rsidR="003D3DE0">
              <w:rPr>
                <w:noProof/>
                <w:webHidden/>
              </w:rPr>
              <w:fldChar w:fldCharType="end"/>
            </w:r>
          </w:hyperlink>
        </w:p>
        <w:p w:rsidR="003D3DE0" w:rsidRDefault="007F7C4D">
          <w:pPr>
            <w:pStyle w:val="TOC2"/>
            <w:tabs>
              <w:tab w:val="right" w:leader="dot" w:pos="8630"/>
            </w:tabs>
            <w:rPr>
              <w:noProof/>
              <w:lang w:val="ru-RU" w:eastAsia="ru-RU"/>
            </w:rPr>
          </w:pPr>
          <w:hyperlink w:anchor="_Toc346718435" w:history="1">
            <w:r w:rsidR="003D3DE0" w:rsidRPr="00B3091D">
              <w:rPr>
                <w:rStyle w:val="Hyperlink"/>
                <w:rFonts w:ascii="Times New Roman" w:hAnsi="Times New Roman" w:cs="Times New Roman"/>
                <w:noProof/>
              </w:rPr>
              <w:t>3.1. Data and Procedures</w:t>
            </w:r>
            <w:r w:rsidR="003D3DE0">
              <w:rPr>
                <w:noProof/>
                <w:webHidden/>
              </w:rPr>
              <w:tab/>
            </w:r>
            <w:r w:rsidR="003D3DE0">
              <w:rPr>
                <w:noProof/>
                <w:webHidden/>
              </w:rPr>
              <w:fldChar w:fldCharType="begin"/>
            </w:r>
            <w:r w:rsidR="003D3DE0">
              <w:rPr>
                <w:noProof/>
                <w:webHidden/>
              </w:rPr>
              <w:instrText xml:space="preserve"> PAGEREF _Toc346718435 \h </w:instrText>
            </w:r>
            <w:r w:rsidR="003D3DE0">
              <w:rPr>
                <w:noProof/>
                <w:webHidden/>
              </w:rPr>
            </w:r>
            <w:r w:rsidR="003D3DE0">
              <w:rPr>
                <w:noProof/>
                <w:webHidden/>
              </w:rPr>
              <w:fldChar w:fldCharType="separate"/>
            </w:r>
            <w:r w:rsidR="003D3DE0">
              <w:rPr>
                <w:noProof/>
                <w:webHidden/>
              </w:rPr>
              <w:t>19</w:t>
            </w:r>
            <w:r w:rsidR="003D3DE0">
              <w:rPr>
                <w:noProof/>
                <w:webHidden/>
              </w:rPr>
              <w:fldChar w:fldCharType="end"/>
            </w:r>
          </w:hyperlink>
        </w:p>
        <w:p w:rsidR="003D3DE0" w:rsidRDefault="007F7C4D">
          <w:pPr>
            <w:pStyle w:val="TOC2"/>
            <w:tabs>
              <w:tab w:val="right" w:leader="dot" w:pos="8630"/>
            </w:tabs>
            <w:rPr>
              <w:noProof/>
              <w:lang w:val="ru-RU" w:eastAsia="ru-RU"/>
            </w:rPr>
          </w:pPr>
          <w:hyperlink w:anchor="_Toc346718436" w:history="1">
            <w:r w:rsidR="003D3DE0" w:rsidRPr="00B3091D">
              <w:rPr>
                <w:rStyle w:val="Hyperlink"/>
                <w:rFonts w:ascii="Times New Roman" w:hAnsi="Times New Roman" w:cs="Times New Roman"/>
                <w:noProof/>
              </w:rPr>
              <w:t>3.2. Measures</w:t>
            </w:r>
            <w:r w:rsidR="003D3DE0">
              <w:rPr>
                <w:noProof/>
                <w:webHidden/>
              </w:rPr>
              <w:tab/>
            </w:r>
            <w:r w:rsidR="003D3DE0">
              <w:rPr>
                <w:noProof/>
                <w:webHidden/>
              </w:rPr>
              <w:fldChar w:fldCharType="begin"/>
            </w:r>
            <w:r w:rsidR="003D3DE0">
              <w:rPr>
                <w:noProof/>
                <w:webHidden/>
              </w:rPr>
              <w:instrText xml:space="preserve"> PAGEREF _Toc346718436 \h </w:instrText>
            </w:r>
            <w:r w:rsidR="003D3DE0">
              <w:rPr>
                <w:noProof/>
                <w:webHidden/>
              </w:rPr>
            </w:r>
            <w:r w:rsidR="003D3DE0">
              <w:rPr>
                <w:noProof/>
                <w:webHidden/>
              </w:rPr>
              <w:fldChar w:fldCharType="separate"/>
            </w:r>
            <w:r w:rsidR="003D3DE0">
              <w:rPr>
                <w:noProof/>
                <w:webHidden/>
              </w:rPr>
              <w:t>20</w:t>
            </w:r>
            <w:r w:rsidR="003D3DE0">
              <w:rPr>
                <w:noProof/>
                <w:webHidden/>
              </w:rPr>
              <w:fldChar w:fldCharType="end"/>
            </w:r>
          </w:hyperlink>
        </w:p>
        <w:p w:rsidR="003D3DE0" w:rsidRDefault="007F7C4D">
          <w:pPr>
            <w:pStyle w:val="TOC3"/>
            <w:tabs>
              <w:tab w:val="right" w:leader="dot" w:pos="8630"/>
            </w:tabs>
            <w:rPr>
              <w:noProof/>
              <w:lang w:val="ru-RU" w:eastAsia="ru-RU"/>
            </w:rPr>
          </w:pPr>
          <w:hyperlink w:anchor="_Toc346718437" w:history="1">
            <w:r w:rsidR="003D3DE0" w:rsidRPr="00B3091D">
              <w:rPr>
                <w:rStyle w:val="Hyperlink"/>
                <w:rFonts w:ascii="Times New Roman" w:hAnsi="Times New Roman" w:cs="Times New Roman"/>
                <w:noProof/>
              </w:rPr>
              <w:t>3.2.1. Dependent variable.</w:t>
            </w:r>
            <w:r w:rsidR="003D3DE0">
              <w:rPr>
                <w:noProof/>
                <w:webHidden/>
              </w:rPr>
              <w:tab/>
            </w:r>
            <w:r w:rsidR="003D3DE0">
              <w:rPr>
                <w:noProof/>
                <w:webHidden/>
              </w:rPr>
              <w:fldChar w:fldCharType="begin"/>
            </w:r>
            <w:r w:rsidR="003D3DE0">
              <w:rPr>
                <w:noProof/>
                <w:webHidden/>
              </w:rPr>
              <w:instrText xml:space="preserve"> PAGEREF _Toc346718437 \h </w:instrText>
            </w:r>
            <w:r w:rsidR="003D3DE0">
              <w:rPr>
                <w:noProof/>
                <w:webHidden/>
              </w:rPr>
            </w:r>
            <w:r w:rsidR="003D3DE0">
              <w:rPr>
                <w:noProof/>
                <w:webHidden/>
              </w:rPr>
              <w:fldChar w:fldCharType="separate"/>
            </w:r>
            <w:r w:rsidR="003D3DE0">
              <w:rPr>
                <w:noProof/>
                <w:webHidden/>
              </w:rPr>
              <w:t>20</w:t>
            </w:r>
            <w:r w:rsidR="003D3DE0">
              <w:rPr>
                <w:noProof/>
                <w:webHidden/>
              </w:rPr>
              <w:fldChar w:fldCharType="end"/>
            </w:r>
          </w:hyperlink>
        </w:p>
        <w:p w:rsidR="003D3DE0" w:rsidRDefault="007F7C4D">
          <w:pPr>
            <w:pStyle w:val="TOC3"/>
            <w:tabs>
              <w:tab w:val="right" w:leader="dot" w:pos="8630"/>
            </w:tabs>
            <w:rPr>
              <w:noProof/>
              <w:lang w:val="ru-RU" w:eastAsia="ru-RU"/>
            </w:rPr>
          </w:pPr>
          <w:hyperlink w:anchor="_Toc346718438" w:history="1">
            <w:r w:rsidR="003D3DE0" w:rsidRPr="00B3091D">
              <w:rPr>
                <w:rStyle w:val="Hyperlink"/>
                <w:rFonts w:ascii="Times New Roman" w:hAnsi="Times New Roman" w:cs="Times New Roman"/>
                <w:noProof/>
              </w:rPr>
              <w:t>3.2.2. Independent variables.</w:t>
            </w:r>
            <w:r w:rsidR="003D3DE0">
              <w:rPr>
                <w:noProof/>
                <w:webHidden/>
              </w:rPr>
              <w:tab/>
            </w:r>
            <w:r w:rsidR="003D3DE0">
              <w:rPr>
                <w:noProof/>
                <w:webHidden/>
              </w:rPr>
              <w:fldChar w:fldCharType="begin"/>
            </w:r>
            <w:r w:rsidR="003D3DE0">
              <w:rPr>
                <w:noProof/>
                <w:webHidden/>
              </w:rPr>
              <w:instrText xml:space="preserve"> PAGEREF _Toc346718438 \h </w:instrText>
            </w:r>
            <w:r w:rsidR="003D3DE0">
              <w:rPr>
                <w:noProof/>
                <w:webHidden/>
              </w:rPr>
            </w:r>
            <w:r w:rsidR="003D3DE0">
              <w:rPr>
                <w:noProof/>
                <w:webHidden/>
              </w:rPr>
              <w:fldChar w:fldCharType="separate"/>
            </w:r>
            <w:r w:rsidR="003D3DE0">
              <w:rPr>
                <w:noProof/>
                <w:webHidden/>
              </w:rPr>
              <w:t>21</w:t>
            </w:r>
            <w:r w:rsidR="003D3DE0">
              <w:rPr>
                <w:noProof/>
                <w:webHidden/>
              </w:rPr>
              <w:fldChar w:fldCharType="end"/>
            </w:r>
          </w:hyperlink>
        </w:p>
        <w:p w:rsidR="003D3DE0" w:rsidRDefault="007F7C4D">
          <w:pPr>
            <w:pStyle w:val="TOC3"/>
            <w:tabs>
              <w:tab w:val="right" w:leader="dot" w:pos="8630"/>
            </w:tabs>
            <w:rPr>
              <w:noProof/>
              <w:lang w:val="ru-RU" w:eastAsia="ru-RU"/>
            </w:rPr>
          </w:pPr>
          <w:hyperlink w:anchor="_Toc346718439" w:history="1">
            <w:r w:rsidR="003D3DE0" w:rsidRPr="00B3091D">
              <w:rPr>
                <w:rStyle w:val="Hyperlink"/>
                <w:rFonts w:ascii="Times New Roman" w:hAnsi="Times New Roman" w:cs="Times New Roman"/>
                <w:noProof/>
              </w:rPr>
              <w:t>3.2.3. Moderator variables</w:t>
            </w:r>
            <w:r w:rsidR="003D3DE0">
              <w:rPr>
                <w:noProof/>
                <w:webHidden/>
              </w:rPr>
              <w:tab/>
            </w:r>
            <w:r w:rsidR="003D3DE0">
              <w:rPr>
                <w:noProof/>
                <w:webHidden/>
              </w:rPr>
              <w:fldChar w:fldCharType="begin"/>
            </w:r>
            <w:r w:rsidR="003D3DE0">
              <w:rPr>
                <w:noProof/>
                <w:webHidden/>
              </w:rPr>
              <w:instrText xml:space="preserve"> PAGEREF _Toc346718439 \h </w:instrText>
            </w:r>
            <w:r w:rsidR="003D3DE0">
              <w:rPr>
                <w:noProof/>
                <w:webHidden/>
              </w:rPr>
            </w:r>
            <w:r w:rsidR="003D3DE0">
              <w:rPr>
                <w:noProof/>
                <w:webHidden/>
              </w:rPr>
              <w:fldChar w:fldCharType="separate"/>
            </w:r>
            <w:r w:rsidR="003D3DE0">
              <w:rPr>
                <w:noProof/>
                <w:webHidden/>
              </w:rPr>
              <w:t>26</w:t>
            </w:r>
            <w:r w:rsidR="003D3DE0">
              <w:rPr>
                <w:noProof/>
                <w:webHidden/>
              </w:rPr>
              <w:fldChar w:fldCharType="end"/>
            </w:r>
          </w:hyperlink>
        </w:p>
        <w:p w:rsidR="003D3DE0" w:rsidRDefault="007F7C4D">
          <w:pPr>
            <w:pStyle w:val="TOC2"/>
            <w:tabs>
              <w:tab w:val="right" w:leader="dot" w:pos="8630"/>
            </w:tabs>
            <w:rPr>
              <w:noProof/>
              <w:lang w:val="ru-RU" w:eastAsia="ru-RU"/>
            </w:rPr>
          </w:pPr>
          <w:hyperlink w:anchor="_Toc346718440" w:history="1">
            <w:r w:rsidR="003D3DE0" w:rsidRPr="00B3091D">
              <w:rPr>
                <w:rStyle w:val="Hyperlink"/>
                <w:rFonts w:ascii="Times New Roman" w:hAnsi="Times New Roman" w:cs="Times New Roman"/>
                <w:noProof/>
              </w:rPr>
              <w:t>3.3. Statistical Analysis</w:t>
            </w:r>
            <w:r w:rsidR="003D3DE0">
              <w:rPr>
                <w:noProof/>
                <w:webHidden/>
              </w:rPr>
              <w:tab/>
            </w:r>
            <w:r w:rsidR="003D3DE0">
              <w:rPr>
                <w:noProof/>
                <w:webHidden/>
              </w:rPr>
              <w:fldChar w:fldCharType="begin"/>
            </w:r>
            <w:r w:rsidR="003D3DE0">
              <w:rPr>
                <w:noProof/>
                <w:webHidden/>
              </w:rPr>
              <w:instrText xml:space="preserve"> PAGEREF _Toc346718440 \h </w:instrText>
            </w:r>
            <w:r w:rsidR="003D3DE0">
              <w:rPr>
                <w:noProof/>
                <w:webHidden/>
              </w:rPr>
            </w:r>
            <w:r w:rsidR="003D3DE0">
              <w:rPr>
                <w:noProof/>
                <w:webHidden/>
              </w:rPr>
              <w:fldChar w:fldCharType="separate"/>
            </w:r>
            <w:r w:rsidR="003D3DE0">
              <w:rPr>
                <w:noProof/>
                <w:webHidden/>
              </w:rPr>
              <w:t>28</w:t>
            </w:r>
            <w:r w:rsidR="003D3DE0">
              <w:rPr>
                <w:noProof/>
                <w:webHidden/>
              </w:rPr>
              <w:fldChar w:fldCharType="end"/>
            </w:r>
          </w:hyperlink>
        </w:p>
        <w:p w:rsidR="003D3DE0" w:rsidRDefault="007F7C4D">
          <w:pPr>
            <w:pStyle w:val="TOC1"/>
            <w:tabs>
              <w:tab w:val="right" w:leader="dot" w:pos="8630"/>
            </w:tabs>
            <w:rPr>
              <w:noProof/>
              <w:lang w:val="ru-RU" w:eastAsia="ru-RU"/>
            </w:rPr>
          </w:pPr>
          <w:hyperlink w:anchor="_Toc346718441" w:history="1">
            <w:r w:rsidR="003D3DE0" w:rsidRPr="00B3091D">
              <w:rPr>
                <w:rStyle w:val="Hyperlink"/>
                <w:rFonts w:ascii="Times New Roman" w:hAnsi="Times New Roman" w:cs="Times New Roman"/>
                <w:noProof/>
              </w:rPr>
              <w:t>Budget</w:t>
            </w:r>
            <w:r w:rsidR="003D3DE0">
              <w:rPr>
                <w:noProof/>
                <w:webHidden/>
              </w:rPr>
              <w:tab/>
            </w:r>
            <w:r w:rsidR="003D3DE0">
              <w:rPr>
                <w:noProof/>
                <w:webHidden/>
              </w:rPr>
              <w:fldChar w:fldCharType="begin"/>
            </w:r>
            <w:r w:rsidR="003D3DE0">
              <w:rPr>
                <w:noProof/>
                <w:webHidden/>
              </w:rPr>
              <w:instrText xml:space="preserve"> PAGEREF _Toc346718441 \h </w:instrText>
            </w:r>
            <w:r w:rsidR="003D3DE0">
              <w:rPr>
                <w:noProof/>
                <w:webHidden/>
              </w:rPr>
            </w:r>
            <w:r w:rsidR="003D3DE0">
              <w:rPr>
                <w:noProof/>
                <w:webHidden/>
              </w:rPr>
              <w:fldChar w:fldCharType="separate"/>
            </w:r>
            <w:r w:rsidR="003D3DE0">
              <w:rPr>
                <w:noProof/>
                <w:webHidden/>
              </w:rPr>
              <w:t>29</w:t>
            </w:r>
            <w:r w:rsidR="003D3DE0">
              <w:rPr>
                <w:noProof/>
                <w:webHidden/>
              </w:rPr>
              <w:fldChar w:fldCharType="end"/>
            </w:r>
          </w:hyperlink>
        </w:p>
        <w:p w:rsidR="003D3DE0" w:rsidRDefault="007F7C4D">
          <w:pPr>
            <w:pStyle w:val="TOC1"/>
            <w:tabs>
              <w:tab w:val="right" w:leader="dot" w:pos="8630"/>
            </w:tabs>
            <w:rPr>
              <w:noProof/>
              <w:lang w:val="ru-RU" w:eastAsia="ru-RU"/>
            </w:rPr>
          </w:pPr>
          <w:hyperlink w:anchor="_Toc346718442" w:history="1">
            <w:r w:rsidR="003D3DE0" w:rsidRPr="00B3091D">
              <w:rPr>
                <w:rStyle w:val="Hyperlink"/>
                <w:rFonts w:ascii="Times New Roman" w:hAnsi="Times New Roman" w:cs="Times New Roman"/>
                <w:noProof/>
              </w:rPr>
              <w:t>Timeline</w:t>
            </w:r>
            <w:r w:rsidR="003D3DE0">
              <w:rPr>
                <w:noProof/>
                <w:webHidden/>
              </w:rPr>
              <w:tab/>
            </w:r>
            <w:r w:rsidR="003D3DE0">
              <w:rPr>
                <w:noProof/>
                <w:webHidden/>
              </w:rPr>
              <w:fldChar w:fldCharType="begin"/>
            </w:r>
            <w:r w:rsidR="003D3DE0">
              <w:rPr>
                <w:noProof/>
                <w:webHidden/>
              </w:rPr>
              <w:instrText xml:space="preserve"> PAGEREF _Toc346718442 \h </w:instrText>
            </w:r>
            <w:r w:rsidR="003D3DE0">
              <w:rPr>
                <w:noProof/>
                <w:webHidden/>
              </w:rPr>
            </w:r>
            <w:r w:rsidR="003D3DE0">
              <w:rPr>
                <w:noProof/>
                <w:webHidden/>
              </w:rPr>
              <w:fldChar w:fldCharType="separate"/>
            </w:r>
            <w:r w:rsidR="003D3DE0">
              <w:rPr>
                <w:noProof/>
                <w:webHidden/>
              </w:rPr>
              <w:t>29</w:t>
            </w:r>
            <w:r w:rsidR="003D3DE0">
              <w:rPr>
                <w:noProof/>
                <w:webHidden/>
              </w:rPr>
              <w:fldChar w:fldCharType="end"/>
            </w:r>
          </w:hyperlink>
        </w:p>
        <w:p w:rsidR="003D3DE0" w:rsidRDefault="007F7C4D">
          <w:pPr>
            <w:pStyle w:val="TOC1"/>
            <w:tabs>
              <w:tab w:val="right" w:leader="dot" w:pos="8630"/>
            </w:tabs>
            <w:rPr>
              <w:noProof/>
              <w:lang w:val="ru-RU" w:eastAsia="ru-RU"/>
            </w:rPr>
          </w:pPr>
          <w:hyperlink w:anchor="_Toc346718443" w:history="1">
            <w:r w:rsidR="003D3DE0" w:rsidRPr="00B3091D">
              <w:rPr>
                <w:rStyle w:val="Hyperlink"/>
                <w:rFonts w:ascii="Times New Roman" w:hAnsi="Times New Roman" w:cs="Times New Roman"/>
                <w:noProof/>
              </w:rPr>
              <w:t>References</w:t>
            </w:r>
            <w:r w:rsidR="003D3DE0">
              <w:rPr>
                <w:noProof/>
                <w:webHidden/>
              </w:rPr>
              <w:tab/>
            </w:r>
            <w:r w:rsidR="003D3DE0">
              <w:rPr>
                <w:noProof/>
                <w:webHidden/>
              </w:rPr>
              <w:fldChar w:fldCharType="begin"/>
            </w:r>
            <w:r w:rsidR="003D3DE0">
              <w:rPr>
                <w:noProof/>
                <w:webHidden/>
              </w:rPr>
              <w:instrText xml:space="preserve"> PAGEREF _Toc346718443 \h </w:instrText>
            </w:r>
            <w:r w:rsidR="003D3DE0">
              <w:rPr>
                <w:noProof/>
                <w:webHidden/>
              </w:rPr>
            </w:r>
            <w:r w:rsidR="003D3DE0">
              <w:rPr>
                <w:noProof/>
                <w:webHidden/>
              </w:rPr>
              <w:fldChar w:fldCharType="separate"/>
            </w:r>
            <w:r w:rsidR="003D3DE0">
              <w:rPr>
                <w:noProof/>
                <w:webHidden/>
              </w:rPr>
              <w:t>30</w:t>
            </w:r>
            <w:r w:rsidR="003D3DE0">
              <w:rPr>
                <w:noProof/>
                <w:webHidden/>
              </w:rPr>
              <w:fldChar w:fldCharType="end"/>
            </w:r>
          </w:hyperlink>
        </w:p>
        <w:p w:rsidR="00E6544D" w:rsidRDefault="001D1018">
          <w:pPr>
            <w:rPr>
              <w:lang w:val="ru-RU"/>
            </w:rPr>
          </w:pPr>
          <w:r w:rsidRPr="00B76321">
            <w:rPr>
              <w:rFonts w:ascii="Times New Roman" w:hAnsi="Times New Roman" w:cs="Times New Roman"/>
              <w:sz w:val="24"/>
              <w:szCs w:val="24"/>
              <w:lang w:val="ru-RU"/>
            </w:rPr>
            <w:fldChar w:fldCharType="end"/>
          </w:r>
        </w:p>
      </w:sdtContent>
    </w:sdt>
    <w:p w:rsidR="001D4AB4" w:rsidRDefault="001D4AB4" w:rsidP="004E4074">
      <w:pPr>
        <w:spacing w:line="480" w:lineRule="auto"/>
        <w:jc w:val="center"/>
        <w:rPr>
          <w:rFonts w:ascii="Times New Roman" w:hAnsi="Times New Roman" w:cs="Times New Roman"/>
          <w:b/>
          <w:sz w:val="24"/>
          <w:szCs w:val="24"/>
        </w:rPr>
      </w:pPr>
    </w:p>
    <w:p w:rsidR="001D4AB4" w:rsidRDefault="001D4AB4" w:rsidP="004E4074">
      <w:pPr>
        <w:spacing w:line="480" w:lineRule="auto"/>
        <w:jc w:val="center"/>
        <w:rPr>
          <w:rFonts w:ascii="Times New Roman" w:hAnsi="Times New Roman" w:cs="Times New Roman"/>
          <w:b/>
          <w:sz w:val="24"/>
          <w:szCs w:val="24"/>
        </w:rPr>
      </w:pPr>
    </w:p>
    <w:p w:rsidR="001D4AB4" w:rsidRDefault="001D4AB4" w:rsidP="004E4074">
      <w:pPr>
        <w:spacing w:line="480" w:lineRule="auto"/>
        <w:jc w:val="center"/>
        <w:rPr>
          <w:rFonts w:ascii="Times New Roman" w:hAnsi="Times New Roman" w:cs="Times New Roman"/>
          <w:b/>
          <w:sz w:val="24"/>
          <w:szCs w:val="24"/>
        </w:rPr>
      </w:pPr>
    </w:p>
    <w:p w:rsidR="001D4AB4" w:rsidRDefault="001D4AB4" w:rsidP="004E4074">
      <w:pPr>
        <w:spacing w:line="480" w:lineRule="auto"/>
        <w:jc w:val="center"/>
        <w:rPr>
          <w:rFonts w:ascii="Times New Roman" w:hAnsi="Times New Roman" w:cs="Times New Roman"/>
          <w:b/>
          <w:sz w:val="24"/>
          <w:szCs w:val="24"/>
        </w:rPr>
      </w:pPr>
    </w:p>
    <w:p w:rsidR="001D4AB4" w:rsidRDefault="001D4AB4" w:rsidP="004E4074">
      <w:pPr>
        <w:spacing w:line="480" w:lineRule="auto"/>
        <w:jc w:val="center"/>
        <w:rPr>
          <w:rFonts w:ascii="Times New Roman" w:hAnsi="Times New Roman" w:cs="Times New Roman"/>
          <w:b/>
          <w:sz w:val="24"/>
          <w:szCs w:val="24"/>
        </w:rPr>
      </w:pPr>
    </w:p>
    <w:p w:rsidR="004E4074" w:rsidRPr="001D4AB4" w:rsidRDefault="005634A2" w:rsidP="001D4AB4">
      <w:pPr>
        <w:pStyle w:val="Heading1"/>
        <w:spacing w:line="480" w:lineRule="auto"/>
        <w:jc w:val="center"/>
        <w:rPr>
          <w:rFonts w:ascii="Times New Roman" w:hAnsi="Times New Roman" w:cs="Times New Roman"/>
          <w:color w:val="auto"/>
          <w:sz w:val="24"/>
        </w:rPr>
      </w:pPr>
      <w:bookmarkStart w:id="4" w:name="_Toc346718425"/>
      <w:r w:rsidRPr="001D4AB4">
        <w:rPr>
          <w:rFonts w:ascii="Times New Roman" w:hAnsi="Times New Roman" w:cs="Times New Roman"/>
          <w:color w:val="auto"/>
          <w:sz w:val="24"/>
        </w:rPr>
        <w:t>1.0. Introduction</w:t>
      </w:r>
      <w:bookmarkEnd w:id="4"/>
    </w:p>
    <w:p w:rsidR="004E4074" w:rsidRPr="001D4AB4" w:rsidRDefault="004E4074" w:rsidP="001D4AB4">
      <w:pPr>
        <w:pStyle w:val="Heading2"/>
        <w:spacing w:line="480" w:lineRule="auto"/>
        <w:rPr>
          <w:rFonts w:ascii="Times New Roman" w:hAnsi="Times New Roman" w:cs="Times New Roman"/>
          <w:color w:val="auto"/>
          <w:sz w:val="24"/>
        </w:rPr>
      </w:pPr>
      <w:bookmarkStart w:id="5" w:name="_Toc346718426"/>
      <w:r w:rsidRPr="001D4AB4">
        <w:rPr>
          <w:rFonts w:ascii="Times New Roman" w:hAnsi="Times New Roman" w:cs="Times New Roman"/>
          <w:color w:val="auto"/>
          <w:sz w:val="24"/>
        </w:rPr>
        <w:t>1.1. Background and Motivation</w:t>
      </w:r>
      <w:bookmarkEnd w:id="5"/>
    </w:p>
    <w:bookmarkEnd w:id="3"/>
    <w:p w:rsidR="00185721" w:rsidRPr="004B502E" w:rsidRDefault="0061764E" w:rsidP="0061764E">
      <w:pPr>
        <w:spacing w:line="480" w:lineRule="auto"/>
        <w:ind w:firstLine="720"/>
        <w:rPr>
          <w:rFonts w:ascii="Times New Roman" w:hAnsi="Times New Roman" w:cs="Times New Roman"/>
          <w:sz w:val="24"/>
          <w:szCs w:val="24"/>
        </w:rPr>
      </w:pPr>
      <w:r w:rsidRPr="004B502E">
        <w:rPr>
          <w:rFonts w:ascii="Times New Roman" w:hAnsi="Times New Roman" w:cs="Times New Roman"/>
          <w:sz w:val="24"/>
          <w:szCs w:val="24"/>
        </w:rPr>
        <w:t xml:space="preserve">The </w:t>
      </w:r>
      <w:r w:rsidR="00C567AC" w:rsidRPr="004B502E">
        <w:rPr>
          <w:rFonts w:ascii="Times New Roman" w:hAnsi="Times New Roman" w:cs="Times New Roman"/>
          <w:sz w:val="24"/>
          <w:szCs w:val="24"/>
        </w:rPr>
        <w:t>concept</w:t>
      </w:r>
      <w:r w:rsidRPr="004B502E">
        <w:rPr>
          <w:rFonts w:ascii="Times New Roman" w:hAnsi="Times New Roman" w:cs="Times New Roman"/>
          <w:sz w:val="24"/>
          <w:szCs w:val="24"/>
        </w:rPr>
        <w:t xml:space="preserve"> </w:t>
      </w:r>
      <w:r w:rsidR="00C567AC" w:rsidRPr="004B502E">
        <w:rPr>
          <w:rFonts w:ascii="Times New Roman" w:hAnsi="Times New Roman" w:cs="Times New Roman"/>
          <w:sz w:val="24"/>
          <w:szCs w:val="24"/>
        </w:rPr>
        <w:t xml:space="preserve">of Islamic banking </w:t>
      </w:r>
      <w:r w:rsidR="00947601" w:rsidRPr="004B502E">
        <w:rPr>
          <w:rFonts w:ascii="Times New Roman" w:hAnsi="Times New Roman" w:cs="Times New Roman"/>
          <w:sz w:val="24"/>
          <w:szCs w:val="24"/>
        </w:rPr>
        <w:t>was</w:t>
      </w:r>
      <w:r w:rsidR="00C567AC" w:rsidRPr="004B502E">
        <w:rPr>
          <w:rFonts w:ascii="Times New Roman" w:hAnsi="Times New Roman" w:cs="Times New Roman"/>
          <w:sz w:val="24"/>
          <w:szCs w:val="24"/>
        </w:rPr>
        <w:t xml:space="preserve"> developed in </w:t>
      </w:r>
      <w:r w:rsidR="00E66577">
        <w:rPr>
          <w:rFonts w:ascii="Times New Roman" w:hAnsi="Times New Roman" w:cs="Times New Roman"/>
          <w:sz w:val="24"/>
          <w:szCs w:val="24"/>
        </w:rPr>
        <w:t xml:space="preserve">the </w:t>
      </w:r>
      <w:r w:rsidR="00C567AC" w:rsidRPr="004B502E">
        <w:rPr>
          <w:rFonts w:ascii="Times New Roman" w:hAnsi="Times New Roman" w:cs="Times New Roman"/>
          <w:sz w:val="24"/>
          <w:szCs w:val="24"/>
        </w:rPr>
        <w:t xml:space="preserve">late </w:t>
      </w:r>
      <w:r w:rsidR="001A28CA" w:rsidRPr="004B502E">
        <w:rPr>
          <w:rFonts w:ascii="Times New Roman" w:hAnsi="Times New Roman" w:cs="Times New Roman"/>
          <w:sz w:val="24"/>
          <w:szCs w:val="24"/>
        </w:rPr>
        <w:t>19</w:t>
      </w:r>
      <w:r w:rsidR="00C567AC" w:rsidRPr="004B502E">
        <w:rPr>
          <w:rFonts w:ascii="Times New Roman" w:hAnsi="Times New Roman" w:cs="Times New Roman"/>
          <w:sz w:val="24"/>
          <w:szCs w:val="24"/>
        </w:rPr>
        <w:t>40s</w:t>
      </w:r>
      <w:r w:rsidR="00E66577">
        <w:rPr>
          <w:rFonts w:ascii="Times New Roman" w:hAnsi="Times New Roman" w:cs="Times New Roman"/>
          <w:sz w:val="24"/>
          <w:szCs w:val="24"/>
        </w:rPr>
        <w:t>,</w:t>
      </w:r>
      <w:r w:rsidR="00C567AC" w:rsidRPr="004B502E">
        <w:rPr>
          <w:rFonts w:ascii="Times New Roman" w:hAnsi="Times New Roman" w:cs="Times New Roman"/>
          <w:sz w:val="24"/>
          <w:szCs w:val="24"/>
        </w:rPr>
        <w:t xml:space="preserve"> </w:t>
      </w:r>
      <w:r w:rsidR="00473CF6" w:rsidRPr="004B502E">
        <w:rPr>
          <w:rFonts w:ascii="Times New Roman" w:hAnsi="Times New Roman" w:cs="Times New Roman"/>
          <w:sz w:val="24"/>
          <w:szCs w:val="24"/>
        </w:rPr>
        <w:t xml:space="preserve">based on the norms and standards of </w:t>
      </w:r>
      <w:r w:rsidR="00A76A00">
        <w:rPr>
          <w:rFonts w:ascii="Times New Roman" w:hAnsi="Times New Roman" w:cs="Times New Roman"/>
          <w:sz w:val="24"/>
          <w:szCs w:val="24"/>
        </w:rPr>
        <w:t>S</w:t>
      </w:r>
      <w:r w:rsidR="00473CF6" w:rsidRPr="004B502E">
        <w:rPr>
          <w:rFonts w:ascii="Times New Roman" w:hAnsi="Times New Roman" w:cs="Times New Roman"/>
          <w:sz w:val="24"/>
          <w:szCs w:val="24"/>
        </w:rPr>
        <w:t xml:space="preserve">haria </w:t>
      </w:r>
      <w:r w:rsidR="00E66577">
        <w:rPr>
          <w:rFonts w:ascii="Times New Roman" w:hAnsi="Times New Roman" w:cs="Times New Roman"/>
          <w:sz w:val="24"/>
          <w:szCs w:val="24"/>
        </w:rPr>
        <w:t>l</w:t>
      </w:r>
      <w:r w:rsidR="00473CF6" w:rsidRPr="004B502E">
        <w:rPr>
          <w:rFonts w:ascii="Times New Roman" w:hAnsi="Times New Roman" w:cs="Times New Roman"/>
          <w:sz w:val="24"/>
          <w:szCs w:val="24"/>
        </w:rPr>
        <w:t>aw</w:t>
      </w:r>
      <w:r w:rsidR="00B244EB">
        <w:rPr>
          <w:rFonts w:ascii="Times New Roman" w:hAnsi="Times New Roman" w:cs="Times New Roman"/>
          <w:sz w:val="24"/>
          <w:szCs w:val="24"/>
        </w:rPr>
        <w:t xml:space="preserve"> (</w:t>
      </w:r>
      <w:r w:rsidR="00A76A00">
        <w:rPr>
          <w:rFonts w:ascii="Times New Roman" w:hAnsi="Times New Roman" w:cs="Times New Roman"/>
          <w:sz w:val="24"/>
          <w:szCs w:val="24"/>
        </w:rPr>
        <w:t>norms and principles retrieved from Koran)</w:t>
      </w:r>
      <w:r w:rsidR="00473CF6" w:rsidRPr="004B502E">
        <w:rPr>
          <w:rFonts w:ascii="Times New Roman" w:hAnsi="Times New Roman" w:cs="Times New Roman"/>
          <w:sz w:val="24"/>
          <w:szCs w:val="24"/>
        </w:rPr>
        <w:t>. T</w:t>
      </w:r>
      <w:r w:rsidR="00C567AC" w:rsidRPr="004B502E">
        <w:rPr>
          <w:rFonts w:ascii="Times New Roman" w:hAnsi="Times New Roman" w:cs="Times New Roman"/>
          <w:sz w:val="24"/>
          <w:szCs w:val="24"/>
        </w:rPr>
        <w:t xml:space="preserve">he first Islamic </w:t>
      </w:r>
      <w:r w:rsidR="00E66577">
        <w:rPr>
          <w:rFonts w:ascii="Times New Roman" w:hAnsi="Times New Roman" w:cs="Times New Roman"/>
          <w:sz w:val="24"/>
          <w:szCs w:val="24"/>
        </w:rPr>
        <w:t>b</w:t>
      </w:r>
      <w:r w:rsidR="00C567AC" w:rsidRPr="004B502E">
        <w:rPr>
          <w:rFonts w:ascii="Times New Roman" w:hAnsi="Times New Roman" w:cs="Times New Roman"/>
          <w:sz w:val="24"/>
          <w:szCs w:val="24"/>
        </w:rPr>
        <w:t>ank, Mit G</w:t>
      </w:r>
      <w:r w:rsidR="00B5716F" w:rsidRPr="004B502E">
        <w:rPr>
          <w:rFonts w:ascii="Times New Roman" w:hAnsi="Times New Roman" w:cs="Times New Roman"/>
          <w:sz w:val="24"/>
          <w:szCs w:val="24"/>
        </w:rPr>
        <w:t>h</w:t>
      </w:r>
      <w:r w:rsidR="00C567AC" w:rsidRPr="004B502E">
        <w:rPr>
          <w:rFonts w:ascii="Times New Roman" w:hAnsi="Times New Roman" w:cs="Times New Roman"/>
          <w:sz w:val="24"/>
          <w:szCs w:val="24"/>
        </w:rPr>
        <w:t>a</w:t>
      </w:r>
      <w:r w:rsidR="00E455E9" w:rsidRPr="004B502E">
        <w:rPr>
          <w:rFonts w:ascii="Times New Roman" w:hAnsi="Times New Roman" w:cs="Times New Roman"/>
          <w:sz w:val="24"/>
          <w:szCs w:val="24"/>
        </w:rPr>
        <w:t>mr Saving</w:t>
      </w:r>
      <w:r w:rsidR="00E66577">
        <w:rPr>
          <w:rFonts w:ascii="Times New Roman" w:hAnsi="Times New Roman" w:cs="Times New Roman"/>
          <w:sz w:val="24"/>
          <w:szCs w:val="24"/>
        </w:rPr>
        <w:t>s</w:t>
      </w:r>
      <w:r w:rsidR="00E455E9" w:rsidRPr="004B502E">
        <w:rPr>
          <w:rFonts w:ascii="Times New Roman" w:hAnsi="Times New Roman" w:cs="Times New Roman"/>
          <w:sz w:val="24"/>
          <w:szCs w:val="24"/>
        </w:rPr>
        <w:t xml:space="preserve"> Bank</w:t>
      </w:r>
      <w:r w:rsidR="00185721" w:rsidRPr="004B502E">
        <w:rPr>
          <w:rFonts w:ascii="Times New Roman" w:hAnsi="Times New Roman" w:cs="Times New Roman"/>
          <w:sz w:val="24"/>
          <w:szCs w:val="24"/>
        </w:rPr>
        <w:t>,</w:t>
      </w:r>
      <w:r w:rsidR="00E455E9" w:rsidRPr="004B502E">
        <w:rPr>
          <w:rFonts w:ascii="Times New Roman" w:hAnsi="Times New Roman" w:cs="Times New Roman"/>
          <w:sz w:val="24"/>
          <w:szCs w:val="24"/>
        </w:rPr>
        <w:t xml:space="preserve"> </w:t>
      </w:r>
      <w:r w:rsidR="00F72F99" w:rsidRPr="004B502E">
        <w:rPr>
          <w:rFonts w:ascii="Times New Roman" w:hAnsi="Times New Roman" w:cs="Times New Roman"/>
          <w:sz w:val="24"/>
          <w:szCs w:val="24"/>
        </w:rPr>
        <w:t>was</w:t>
      </w:r>
      <w:r w:rsidR="00E455E9" w:rsidRPr="004B502E">
        <w:rPr>
          <w:rFonts w:ascii="Times New Roman" w:hAnsi="Times New Roman" w:cs="Times New Roman"/>
          <w:sz w:val="24"/>
          <w:szCs w:val="24"/>
        </w:rPr>
        <w:t xml:space="preserve"> established in 1963</w:t>
      </w:r>
      <w:r w:rsidR="0038728A" w:rsidRPr="004B502E">
        <w:rPr>
          <w:rFonts w:ascii="Times New Roman" w:hAnsi="Times New Roman" w:cs="Times New Roman"/>
          <w:sz w:val="24"/>
          <w:szCs w:val="24"/>
        </w:rPr>
        <w:t xml:space="preserve"> </w:t>
      </w:r>
      <w:r w:rsidR="00F72F99" w:rsidRPr="004B502E">
        <w:rPr>
          <w:rFonts w:ascii="Times New Roman" w:hAnsi="Times New Roman" w:cs="Times New Roman"/>
          <w:sz w:val="24"/>
          <w:szCs w:val="24"/>
        </w:rPr>
        <w:t xml:space="preserve">in Egypt </w:t>
      </w:r>
      <w:r w:rsidR="0038728A" w:rsidRPr="004B502E">
        <w:rPr>
          <w:rFonts w:ascii="Times New Roman" w:hAnsi="Times New Roman" w:cs="Times New Roman"/>
          <w:sz w:val="24"/>
          <w:szCs w:val="24"/>
        </w:rPr>
        <w:t xml:space="preserve">(Chachi, 2005) </w:t>
      </w:r>
      <w:r w:rsidR="00E455E9" w:rsidRPr="004B502E">
        <w:rPr>
          <w:rFonts w:ascii="Times New Roman" w:hAnsi="Times New Roman" w:cs="Times New Roman"/>
          <w:sz w:val="24"/>
          <w:szCs w:val="24"/>
        </w:rPr>
        <w:t>and sin</w:t>
      </w:r>
      <w:r w:rsidR="00F72F99" w:rsidRPr="004B502E">
        <w:rPr>
          <w:rFonts w:ascii="Times New Roman" w:hAnsi="Times New Roman" w:cs="Times New Roman"/>
          <w:sz w:val="24"/>
          <w:szCs w:val="24"/>
        </w:rPr>
        <w:t xml:space="preserve">ce 1970 its principles </w:t>
      </w:r>
      <w:r w:rsidR="00947601" w:rsidRPr="004B502E">
        <w:rPr>
          <w:rFonts w:ascii="Times New Roman" w:hAnsi="Times New Roman" w:cs="Times New Roman"/>
          <w:sz w:val="24"/>
          <w:szCs w:val="24"/>
        </w:rPr>
        <w:t xml:space="preserve">have been </w:t>
      </w:r>
      <w:r w:rsidR="00E455E9" w:rsidRPr="004B502E">
        <w:rPr>
          <w:rFonts w:ascii="Times New Roman" w:hAnsi="Times New Roman" w:cs="Times New Roman"/>
          <w:sz w:val="24"/>
          <w:szCs w:val="24"/>
        </w:rPr>
        <w:t>implemented in other countries (Skinner, 2007).</w:t>
      </w:r>
      <w:r w:rsidR="00483C78" w:rsidRPr="004B502E">
        <w:rPr>
          <w:rFonts w:ascii="Times New Roman" w:hAnsi="Times New Roman" w:cs="Times New Roman"/>
          <w:sz w:val="24"/>
          <w:szCs w:val="24"/>
        </w:rPr>
        <w:t xml:space="preserve"> </w:t>
      </w:r>
      <w:r w:rsidR="00473CF6" w:rsidRPr="004B502E">
        <w:rPr>
          <w:rFonts w:ascii="Times New Roman" w:hAnsi="Times New Roman" w:cs="Times New Roman"/>
          <w:sz w:val="24"/>
          <w:szCs w:val="24"/>
        </w:rPr>
        <w:t xml:space="preserve">Currently, there are more than 300 Islamic financial institutions operating in more than 80 countries (Cevik </w:t>
      </w:r>
      <w:r w:rsidR="00951213" w:rsidRPr="004B502E">
        <w:rPr>
          <w:rFonts w:ascii="Times New Roman" w:hAnsi="Times New Roman" w:cs="Times New Roman"/>
          <w:sz w:val="24"/>
          <w:szCs w:val="24"/>
        </w:rPr>
        <w:t>&amp;</w:t>
      </w:r>
      <w:r w:rsidR="00473CF6" w:rsidRPr="004B502E">
        <w:rPr>
          <w:rFonts w:ascii="Times New Roman" w:hAnsi="Times New Roman" w:cs="Times New Roman"/>
          <w:sz w:val="24"/>
          <w:szCs w:val="24"/>
        </w:rPr>
        <w:t xml:space="preserve"> Charap, 2011). </w:t>
      </w:r>
      <w:r w:rsidR="00940C09" w:rsidRPr="004B502E">
        <w:rPr>
          <w:rFonts w:ascii="Times New Roman" w:hAnsi="Times New Roman" w:cs="Times New Roman"/>
          <w:sz w:val="24"/>
          <w:szCs w:val="24"/>
        </w:rPr>
        <w:t xml:space="preserve">In 2013, the total assets of </w:t>
      </w:r>
      <w:r w:rsidR="00852351">
        <w:rPr>
          <w:rFonts w:ascii="Times New Roman" w:hAnsi="Times New Roman" w:cs="Times New Roman"/>
          <w:sz w:val="24"/>
          <w:szCs w:val="24"/>
        </w:rPr>
        <w:t>Islamic banks</w:t>
      </w:r>
      <w:r w:rsidR="00940C09" w:rsidRPr="004B502E">
        <w:rPr>
          <w:rFonts w:ascii="Times New Roman" w:hAnsi="Times New Roman" w:cs="Times New Roman"/>
          <w:sz w:val="24"/>
          <w:szCs w:val="24"/>
        </w:rPr>
        <w:t xml:space="preserve"> are expected to reach the level of</w:t>
      </w:r>
      <w:r w:rsidR="00E66577">
        <w:rPr>
          <w:rFonts w:ascii="Times New Roman" w:hAnsi="Times New Roman" w:cs="Times New Roman"/>
          <w:sz w:val="24"/>
          <w:szCs w:val="24"/>
        </w:rPr>
        <w:t xml:space="preserve"> US$</w:t>
      </w:r>
      <w:r w:rsidR="00940C09" w:rsidRPr="004B502E">
        <w:rPr>
          <w:rFonts w:ascii="Times New Roman" w:hAnsi="Times New Roman" w:cs="Times New Roman"/>
          <w:sz w:val="24"/>
          <w:szCs w:val="24"/>
        </w:rPr>
        <w:t xml:space="preserve">1.8 trillion </w:t>
      </w:r>
      <w:r w:rsidR="00362F44">
        <w:rPr>
          <w:rFonts w:ascii="Times New Roman" w:hAnsi="Times New Roman" w:cs="Times New Roman"/>
          <w:sz w:val="24"/>
          <w:szCs w:val="24"/>
        </w:rPr>
        <w:t>(The Peninsula</w:t>
      </w:r>
      <w:r w:rsidR="00410019" w:rsidRPr="0068315A">
        <w:rPr>
          <w:rFonts w:ascii="Times New Roman" w:hAnsi="Times New Roman" w:cs="Times New Roman"/>
          <w:sz w:val="24"/>
          <w:szCs w:val="24"/>
        </w:rPr>
        <w:t>, 2012</w:t>
      </w:r>
      <w:r w:rsidR="009B1016" w:rsidRPr="0068315A">
        <w:rPr>
          <w:rFonts w:ascii="Times New Roman" w:hAnsi="Times New Roman" w:cs="Times New Roman"/>
          <w:sz w:val="24"/>
          <w:szCs w:val="24"/>
        </w:rPr>
        <w:t>).</w:t>
      </w:r>
      <w:r w:rsidR="009B1016" w:rsidRPr="004B502E">
        <w:rPr>
          <w:rFonts w:ascii="Times New Roman" w:hAnsi="Times New Roman" w:cs="Times New Roman"/>
          <w:sz w:val="24"/>
          <w:szCs w:val="24"/>
        </w:rPr>
        <w:t xml:space="preserve"> </w:t>
      </w:r>
    </w:p>
    <w:p w:rsidR="008409CF" w:rsidRPr="004B502E" w:rsidRDefault="00630E66" w:rsidP="00991621">
      <w:pPr>
        <w:spacing w:line="480" w:lineRule="auto"/>
        <w:ind w:firstLine="720"/>
        <w:rPr>
          <w:rFonts w:ascii="Times New Roman" w:hAnsi="Times New Roman" w:cs="Times New Roman"/>
          <w:sz w:val="24"/>
          <w:szCs w:val="24"/>
        </w:rPr>
      </w:pPr>
      <w:r w:rsidRPr="004B502E">
        <w:rPr>
          <w:rFonts w:ascii="Times New Roman" w:hAnsi="Times New Roman" w:cs="Times New Roman"/>
          <w:sz w:val="24"/>
          <w:szCs w:val="24"/>
        </w:rPr>
        <w:t>T</w:t>
      </w:r>
      <w:r w:rsidR="009D6240" w:rsidRPr="004B502E">
        <w:rPr>
          <w:rFonts w:ascii="Times New Roman" w:hAnsi="Times New Roman" w:cs="Times New Roman"/>
          <w:sz w:val="24"/>
          <w:szCs w:val="24"/>
        </w:rPr>
        <w:t xml:space="preserve">he new financial system was </w:t>
      </w:r>
      <w:r w:rsidR="00E66577">
        <w:rPr>
          <w:rFonts w:ascii="Times New Roman" w:hAnsi="Times New Roman" w:cs="Times New Roman"/>
          <w:sz w:val="24"/>
          <w:szCs w:val="24"/>
        </w:rPr>
        <w:t xml:space="preserve">developed to </w:t>
      </w:r>
      <w:r w:rsidR="00947601" w:rsidRPr="004B502E">
        <w:rPr>
          <w:rFonts w:ascii="Times New Roman" w:hAnsi="Times New Roman" w:cs="Times New Roman"/>
          <w:sz w:val="24"/>
          <w:szCs w:val="24"/>
        </w:rPr>
        <w:t>creat</w:t>
      </w:r>
      <w:r w:rsidR="00E66577">
        <w:rPr>
          <w:rFonts w:ascii="Times New Roman" w:hAnsi="Times New Roman" w:cs="Times New Roman"/>
          <w:sz w:val="24"/>
          <w:szCs w:val="24"/>
        </w:rPr>
        <w:t>e</w:t>
      </w:r>
      <w:r w:rsidR="00947601" w:rsidRPr="004B502E">
        <w:rPr>
          <w:rFonts w:ascii="Times New Roman" w:hAnsi="Times New Roman" w:cs="Times New Roman"/>
          <w:sz w:val="24"/>
          <w:szCs w:val="24"/>
        </w:rPr>
        <w:t xml:space="preserve"> </w:t>
      </w:r>
      <w:r w:rsidR="00ED6B76" w:rsidRPr="004B502E">
        <w:rPr>
          <w:rFonts w:ascii="Times New Roman" w:hAnsi="Times New Roman" w:cs="Times New Roman"/>
          <w:sz w:val="24"/>
          <w:szCs w:val="24"/>
        </w:rPr>
        <w:t xml:space="preserve">an environment where Muslims could engage in financial and banking activities without violating </w:t>
      </w:r>
      <w:r w:rsidR="005D30A2" w:rsidRPr="004B502E">
        <w:rPr>
          <w:rFonts w:ascii="Times New Roman" w:hAnsi="Times New Roman" w:cs="Times New Roman"/>
          <w:sz w:val="24"/>
          <w:szCs w:val="24"/>
        </w:rPr>
        <w:t xml:space="preserve">their </w:t>
      </w:r>
      <w:r w:rsidR="00ED6B76" w:rsidRPr="004B502E">
        <w:rPr>
          <w:rFonts w:ascii="Times New Roman" w:hAnsi="Times New Roman" w:cs="Times New Roman"/>
          <w:sz w:val="24"/>
          <w:szCs w:val="24"/>
        </w:rPr>
        <w:t xml:space="preserve">religious norms. </w:t>
      </w:r>
      <w:r w:rsidR="00604109" w:rsidRPr="004B502E">
        <w:rPr>
          <w:rFonts w:ascii="Times New Roman" w:hAnsi="Times New Roman" w:cs="Times New Roman"/>
          <w:sz w:val="24"/>
          <w:szCs w:val="24"/>
        </w:rPr>
        <w:t xml:space="preserve">There are </w:t>
      </w:r>
      <w:r w:rsidR="007705D2" w:rsidRPr="004B502E">
        <w:rPr>
          <w:rFonts w:ascii="Times New Roman" w:hAnsi="Times New Roman" w:cs="Times New Roman"/>
          <w:sz w:val="24"/>
          <w:szCs w:val="24"/>
        </w:rPr>
        <w:t>four</w:t>
      </w:r>
      <w:r w:rsidR="00604109" w:rsidRPr="004B502E">
        <w:rPr>
          <w:rFonts w:ascii="Times New Roman" w:hAnsi="Times New Roman" w:cs="Times New Roman"/>
          <w:sz w:val="24"/>
          <w:szCs w:val="24"/>
        </w:rPr>
        <w:t xml:space="preserve"> fundamental </w:t>
      </w:r>
      <w:r w:rsidR="009D6240" w:rsidRPr="004B502E">
        <w:rPr>
          <w:rFonts w:ascii="Times New Roman" w:hAnsi="Times New Roman" w:cs="Times New Roman"/>
          <w:sz w:val="24"/>
          <w:szCs w:val="24"/>
        </w:rPr>
        <w:t>bans</w:t>
      </w:r>
      <w:r w:rsidR="00604109" w:rsidRPr="004B502E">
        <w:rPr>
          <w:rFonts w:ascii="Times New Roman" w:hAnsi="Times New Roman" w:cs="Times New Roman"/>
          <w:sz w:val="24"/>
          <w:szCs w:val="24"/>
        </w:rPr>
        <w:t xml:space="preserve"> that </w:t>
      </w:r>
      <w:r w:rsidR="007E421B">
        <w:rPr>
          <w:rFonts w:ascii="Times New Roman" w:hAnsi="Times New Roman" w:cs="Times New Roman"/>
          <w:sz w:val="24"/>
          <w:szCs w:val="24"/>
        </w:rPr>
        <w:t>must</w:t>
      </w:r>
      <w:r w:rsidR="007E421B" w:rsidRPr="004B502E">
        <w:rPr>
          <w:rFonts w:ascii="Times New Roman" w:hAnsi="Times New Roman" w:cs="Times New Roman"/>
          <w:sz w:val="24"/>
          <w:szCs w:val="24"/>
        </w:rPr>
        <w:t xml:space="preserve"> </w:t>
      </w:r>
      <w:r w:rsidR="00604109" w:rsidRPr="004B502E">
        <w:rPr>
          <w:rFonts w:ascii="Times New Roman" w:hAnsi="Times New Roman" w:cs="Times New Roman"/>
          <w:sz w:val="24"/>
          <w:szCs w:val="24"/>
        </w:rPr>
        <w:t xml:space="preserve">be </w:t>
      </w:r>
      <w:r w:rsidR="007705D2" w:rsidRPr="004B502E">
        <w:rPr>
          <w:rFonts w:ascii="Times New Roman" w:hAnsi="Times New Roman" w:cs="Times New Roman"/>
          <w:sz w:val="24"/>
          <w:szCs w:val="24"/>
        </w:rPr>
        <w:t>followed by</w:t>
      </w:r>
      <w:r w:rsidR="00BF6F41" w:rsidRPr="004B502E">
        <w:rPr>
          <w:rFonts w:ascii="Times New Roman" w:hAnsi="Times New Roman" w:cs="Times New Roman"/>
          <w:sz w:val="24"/>
          <w:szCs w:val="24"/>
        </w:rPr>
        <w:t xml:space="preserve"> Islamic </w:t>
      </w:r>
      <w:r w:rsidR="007E421B">
        <w:rPr>
          <w:rFonts w:ascii="Times New Roman" w:hAnsi="Times New Roman" w:cs="Times New Roman"/>
          <w:sz w:val="24"/>
          <w:szCs w:val="24"/>
        </w:rPr>
        <w:t>b</w:t>
      </w:r>
      <w:r w:rsidR="00BF6F41" w:rsidRPr="004B502E">
        <w:rPr>
          <w:rFonts w:ascii="Times New Roman" w:hAnsi="Times New Roman" w:cs="Times New Roman"/>
          <w:sz w:val="24"/>
          <w:szCs w:val="24"/>
        </w:rPr>
        <w:t>anks</w:t>
      </w:r>
      <w:r w:rsidR="007705D2" w:rsidRPr="004B502E">
        <w:rPr>
          <w:rFonts w:ascii="Times New Roman" w:hAnsi="Times New Roman" w:cs="Times New Roman"/>
          <w:sz w:val="24"/>
          <w:szCs w:val="24"/>
        </w:rPr>
        <w:t xml:space="preserve"> in their operations</w:t>
      </w:r>
      <w:r w:rsidR="00BF6F41" w:rsidRPr="004B502E">
        <w:rPr>
          <w:rFonts w:ascii="Times New Roman" w:hAnsi="Times New Roman" w:cs="Times New Roman"/>
          <w:sz w:val="24"/>
          <w:szCs w:val="24"/>
        </w:rPr>
        <w:t xml:space="preserve"> </w:t>
      </w:r>
      <w:r w:rsidR="009D6240" w:rsidRPr="004B502E">
        <w:rPr>
          <w:rFonts w:ascii="Times New Roman" w:hAnsi="Times New Roman" w:cs="Times New Roman"/>
          <w:sz w:val="24"/>
          <w:szCs w:val="24"/>
        </w:rPr>
        <w:t xml:space="preserve">(Hussain </w:t>
      </w:r>
      <w:r w:rsidR="00951213" w:rsidRPr="004B502E">
        <w:rPr>
          <w:rFonts w:ascii="Times New Roman" w:hAnsi="Times New Roman" w:cs="Times New Roman"/>
          <w:sz w:val="24"/>
          <w:szCs w:val="24"/>
        </w:rPr>
        <w:t>&amp;</w:t>
      </w:r>
      <w:r w:rsidR="00E00AFD" w:rsidRPr="004B502E">
        <w:rPr>
          <w:rFonts w:ascii="Times New Roman" w:hAnsi="Times New Roman" w:cs="Times New Roman"/>
          <w:sz w:val="24"/>
          <w:szCs w:val="24"/>
        </w:rPr>
        <w:t xml:space="preserve"> </w:t>
      </w:r>
      <w:r w:rsidR="009D6240" w:rsidRPr="004B502E">
        <w:rPr>
          <w:rFonts w:ascii="Times New Roman" w:hAnsi="Times New Roman" w:cs="Times New Roman"/>
          <w:sz w:val="24"/>
          <w:szCs w:val="24"/>
        </w:rPr>
        <w:t xml:space="preserve">Mehboob, 2008): </w:t>
      </w:r>
      <w:r w:rsidR="00991621" w:rsidRPr="007C06E7">
        <w:rPr>
          <w:rFonts w:ascii="Times New Roman" w:hAnsi="Times New Roman" w:cs="Times New Roman"/>
          <w:i/>
          <w:sz w:val="24"/>
          <w:szCs w:val="24"/>
        </w:rPr>
        <w:t>r</w:t>
      </w:r>
      <w:r w:rsidR="00D30AF2" w:rsidRPr="007C06E7">
        <w:rPr>
          <w:rFonts w:ascii="Times New Roman" w:hAnsi="Times New Roman" w:cs="Times New Roman"/>
          <w:i/>
          <w:sz w:val="24"/>
          <w:szCs w:val="24"/>
        </w:rPr>
        <w:t>iba</w:t>
      </w:r>
      <w:r w:rsidR="00D30AF2" w:rsidRPr="007C06E7">
        <w:rPr>
          <w:rFonts w:ascii="Times New Roman" w:hAnsi="Times New Roman" w:cs="Times New Roman"/>
          <w:sz w:val="24"/>
          <w:szCs w:val="24"/>
        </w:rPr>
        <w:t xml:space="preserve"> </w:t>
      </w:r>
      <w:r w:rsidR="00D30AF2" w:rsidRPr="004B502E">
        <w:rPr>
          <w:rFonts w:ascii="Times New Roman" w:hAnsi="Times New Roman" w:cs="Times New Roman"/>
          <w:sz w:val="24"/>
          <w:szCs w:val="24"/>
        </w:rPr>
        <w:t>(r</w:t>
      </w:r>
      <w:r w:rsidR="009D6240" w:rsidRPr="004B502E">
        <w:rPr>
          <w:rFonts w:ascii="Times New Roman" w:hAnsi="Times New Roman" w:cs="Times New Roman"/>
          <w:sz w:val="24"/>
          <w:szCs w:val="24"/>
        </w:rPr>
        <w:t xml:space="preserve">eceipt and payment of </w:t>
      </w:r>
      <w:r w:rsidR="00021B0E" w:rsidRPr="004B502E">
        <w:rPr>
          <w:rFonts w:ascii="Times New Roman" w:hAnsi="Times New Roman" w:cs="Times New Roman"/>
          <w:sz w:val="24"/>
          <w:szCs w:val="24"/>
        </w:rPr>
        <w:t>an</w:t>
      </w:r>
      <w:r w:rsidR="007E421B">
        <w:rPr>
          <w:rFonts w:ascii="Times New Roman" w:hAnsi="Times New Roman" w:cs="Times New Roman"/>
          <w:sz w:val="24"/>
          <w:szCs w:val="24"/>
        </w:rPr>
        <w:t>y</w:t>
      </w:r>
      <w:r w:rsidR="00021B0E" w:rsidRPr="004B502E">
        <w:rPr>
          <w:rFonts w:ascii="Times New Roman" w:hAnsi="Times New Roman" w:cs="Times New Roman"/>
          <w:sz w:val="24"/>
          <w:szCs w:val="24"/>
        </w:rPr>
        <w:t xml:space="preserve"> amount in the form of </w:t>
      </w:r>
      <w:r w:rsidR="007E421B">
        <w:rPr>
          <w:rFonts w:ascii="Times New Roman" w:hAnsi="Times New Roman" w:cs="Times New Roman"/>
          <w:sz w:val="24"/>
          <w:szCs w:val="24"/>
        </w:rPr>
        <w:t xml:space="preserve">a </w:t>
      </w:r>
      <w:r w:rsidR="00021B0E" w:rsidRPr="004B502E">
        <w:rPr>
          <w:rFonts w:ascii="Times New Roman" w:hAnsi="Times New Roman" w:cs="Times New Roman"/>
          <w:sz w:val="24"/>
          <w:szCs w:val="24"/>
        </w:rPr>
        <w:t xml:space="preserve">fixed </w:t>
      </w:r>
      <w:r w:rsidR="009D6240" w:rsidRPr="004B502E">
        <w:rPr>
          <w:rFonts w:ascii="Times New Roman" w:hAnsi="Times New Roman" w:cs="Times New Roman"/>
          <w:sz w:val="24"/>
          <w:szCs w:val="24"/>
        </w:rPr>
        <w:t>interes</w:t>
      </w:r>
      <w:r w:rsidR="00021B0E" w:rsidRPr="004B502E">
        <w:rPr>
          <w:rFonts w:ascii="Times New Roman" w:hAnsi="Times New Roman" w:cs="Times New Roman"/>
          <w:sz w:val="24"/>
          <w:szCs w:val="24"/>
        </w:rPr>
        <w:t>t rate</w:t>
      </w:r>
      <w:r w:rsidR="007C06E7">
        <w:rPr>
          <w:rFonts w:ascii="Times New Roman" w:hAnsi="Times New Roman" w:cs="Times New Roman"/>
          <w:sz w:val="24"/>
          <w:szCs w:val="24"/>
        </w:rPr>
        <w:t>),</w:t>
      </w:r>
      <w:r w:rsidR="00A57980" w:rsidRPr="004B502E">
        <w:rPr>
          <w:rFonts w:ascii="Times New Roman" w:hAnsi="Times New Roman" w:cs="Times New Roman"/>
          <w:sz w:val="24"/>
          <w:szCs w:val="24"/>
        </w:rPr>
        <w:t xml:space="preserve"> </w:t>
      </w:r>
      <w:r w:rsidR="00991621" w:rsidRPr="007C06E7">
        <w:rPr>
          <w:rFonts w:ascii="Times New Roman" w:hAnsi="Times New Roman" w:cs="Times New Roman"/>
          <w:i/>
          <w:sz w:val="24"/>
          <w:szCs w:val="24"/>
        </w:rPr>
        <w:t>g</w:t>
      </w:r>
      <w:r w:rsidR="00D30AF2" w:rsidRPr="007C06E7">
        <w:rPr>
          <w:rFonts w:ascii="Times New Roman" w:hAnsi="Times New Roman" w:cs="Times New Roman"/>
          <w:i/>
          <w:sz w:val="24"/>
          <w:szCs w:val="24"/>
        </w:rPr>
        <w:t>harar</w:t>
      </w:r>
      <w:r w:rsidR="00D30AF2" w:rsidRPr="004B502E">
        <w:rPr>
          <w:rFonts w:ascii="Times New Roman" w:hAnsi="Times New Roman" w:cs="Times New Roman"/>
          <w:sz w:val="24"/>
          <w:szCs w:val="24"/>
        </w:rPr>
        <w:t xml:space="preserve"> (</w:t>
      </w:r>
      <w:r w:rsidR="00D200D7">
        <w:rPr>
          <w:rFonts w:ascii="Times New Roman" w:hAnsi="Times New Roman" w:cs="Times New Roman"/>
          <w:sz w:val="24"/>
          <w:szCs w:val="24"/>
        </w:rPr>
        <w:t>uncertainty</w:t>
      </w:r>
      <w:r w:rsidR="007C06E7">
        <w:rPr>
          <w:rFonts w:ascii="Times New Roman" w:hAnsi="Times New Roman" w:cs="Times New Roman"/>
          <w:sz w:val="24"/>
          <w:szCs w:val="24"/>
        </w:rPr>
        <w:t>),</w:t>
      </w:r>
      <w:r w:rsidR="00D30AF2" w:rsidRPr="004B502E">
        <w:rPr>
          <w:rFonts w:ascii="Times New Roman" w:hAnsi="Times New Roman" w:cs="Times New Roman"/>
          <w:sz w:val="24"/>
          <w:szCs w:val="24"/>
        </w:rPr>
        <w:t xml:space="preserve"> </w:t>
      </w:r>
      <w:r w:rsidR="00991621" w:rsidRPr="007C06E7">
        <w:rPr>
          <w:rFonts w:ascii="Times New Roman" w:hAnsi="Times New Roman" w:cs="Times New Roman"/>
          <w:i/>
          <w:sz w:val="24"/>
          <w:szCs w:val="24"/>
        </w:rPr>
        <w:t>h</w:t>
      </w:r>
      <w:r w:rsidR="00D30AF2" w:rsidRPr="007C06E7">
        <w:rPr>
          <w:rFonts w:ascii="Times New Roman" w:hAnsi="Times New Roman" w:cs="Times New Roman"/>
          <w:i/>
          <w:sz w:val="24"/>
          <w:szCs w:val="24"/>
        </w:rPr>
        <w:t>aram</w:t>
      </w:r>
      <w:r w:rsidR="00D30AF2" w:rsidRPr="007C06E7">
        <w:rPr>
          <w:rFonts w:ascii="Times New Roman" w:hAnsi="Times New Roman" w:cs="Times New Roman"/>
          <w:sz w:val="24"/>
          <w:szCs w:val="24"/>
        </w:rPr>
        <w:t xml:space="preserve"> </w:t>
      </w:r>
      <w:r w:rsidR="00D30AF2" w:rsidRPr="004B502E">
        <w:rPr>
          <w:rFonts w:ascii="Times New Roman" w:hAnsi="Times New Roman" w:cs="Times New Roman"/>
          <w:sz w:val="24"/>
          <w:szCs w:val="24"/>
        </w:rPr>
        <w:t>(s</w:t>
      </w:r>
      <w:r w:rsidR="009D6240" w:rsidRPr="004B502E">
        <w:rPr>
          <w:rFonts w:ascii="Times New Roman" w:hAnsi="Times New Roman" w:cs="Times New Roman"/>
          <w:sz w:val="24"/>
          <w:szCs w:val="24"/>
        </w:rPr>
        <w:t>pecific forbidden activities)</w:t>
      </w:r>
      <w:r w:rsidR="007E421B">
        <w:rPr>
          <w:rFonts w:ascii="Times New Roman" w:hAnsi="Times New Roman" w:cs="Times New Roman"/>
          <w:sz w:val="24"/>
          <w:szCs w:val="24"/>
        </w:rPr>
        <w:t>,</w:t>
      </w:r>
      <w:r w:rsidR="00991621" w:rsidRPr="004B502E">
        <w:rPr>
          <w:rFonts w:ascii="Times New Roman" w:hAnsi="Times New Roman" w:cs="Times New Roman"/>
          <w:sz w:val="24"/>
          <w:szCs w:val="24"/>
        </w:rPr>
        <w:t xml:space="preserve"> and </w:t>
      </w:r>
      <w:r w:rsidR="00991621" w:rsidRPr="007C06E7">
        <w:rPr>
          <w:rFonts w:ascii="Times New Roman" w:hAnsi="Times New Roman" w:cs="Times New Roman"/>
          <w:i/>
          <w:sz w:val="24"/>
          <w:szCs w:val="24"/>
        </w:rPr>
        <w:t>maysir</w:t>
      </w:r>
      <w:r w:rsidR="00A57980" w:rsidRPr="004B502E">
        <w:rPr>
          <w:rFonts w:ascii="Times New Roman" w:hAnsi="Times New Roman" w:cs="Times New Roman"/>
          <w:sz w:val="24"/>
          <w:szCs w:val="24"/>
        </w:rPr>
        <w:t xml:space="preserve"> </w:t>
      </w:r>
      <w:r w:rsidR="00991621" w:rsidRPr="004B502E">
        <w:rPr>
          <w:rFonts w:ascii="Times New Roman" w:hAnsi="Times New Roman" w:cs="Times New Roman"/>
          <w:sz w:val="24"/>
          <w:szCs w:val="24"/>
        </w:rPr>
        <w:t>(g</w:t>
      </w:r>
      <w:r w:rsidR="009D6240" w:rsidRPr="004B502E">
        <w:rPr>
          <w:rFonts w:ascii="Times New Roman" w:hAnsi="Times New Roman" w:cs="Times New Roman"/>
          <w:sz w:val="24"/>
          <w:szCs w:val="24"/>
        </w:rPr>
        <w:t>ambling/speculation</w:t>
      </w:r>
      <w:r w:rsidR="00991621" w:rsidRPr="004B502E">
        <w:rPr>
          <w:rFonts w:ascii="Times New Roman" w:hAnsi="Times New Roman" w:cs="Times New Roman"/>
          <w:sz w:val="24"/>
          <w:szCs w:val="24"/>
        </w:rPr>
        <w:t>s).</w:t>
      </w:r>
      <w:r w:rsidR="00367B7A" w:rsidRPr="004B502E">
        <w:rPr>
          <w:rStyle w:val="FootnoteReference"/>
          <w:rFonts w:ascii="Times New Roman" w:hAnsi="Times New Roman" w:cs="Times New Roman"/>
          <w:sz w:val="24"/>
          <w:szCs w:val="24"/>
        </w:rPr>
        <w:footnoteReference w:id="1"/>
      </w:r>
      <w:r w:rsidR="007C06E7">
        <w:rPr>
          <w:rFonts w:ascii="Times New Roman" w:hAnsi="Times New Roman" w:cs="Times New Roman"/>
          <w:sz w:val="24"/>
          <w:szCs w:val="24"/>
        </w:rPr>
        <w:t xml:space="preserve"> </w:t>
      </w:r>
      <w:r w:rsidR="007E421B">
        <w:rPr>
          <w:rFonts w:ascii="Times New Roman" w:hAnsi="Times New Roman" w:cs="Times New Roman"/>
          <w:sz w:val="24"/>
          <w:szCs w:val="24"/>
        </w:rPr>
        <w:t>These</w:t>
      </w:r>
      <w:r w:rsidR="007E421B" w:rsidRPr="004B502E">
        <w:rPr>
          <w:rFonts w:ascii="Times New Roman" w:hAnsi="Times New Roman" w:cs="Times New Roman"/>
          <w:sz w:val="24"/>
          <w:szCs w:val="24"/>
        </w:rPr>
        <w:t xml:space="preserve"> </w:t>
      </w:r>
      <w:r w:rsidR="00947601" w:rsidRPr="004B502E">
        <w:rPr>
          <w:rFonts w:ascii="Times New Roman" w:hAnsi="Times New Roman" w:cs="Times New Roman"/>
          <w:sz w:val="24"/>
          <w:szCs w:val="24"/>
        </w:rPr>
        <w:t>b</w:t>
      </w:r>
      <w:r w:rsidR="00867E85" w:rsidRPr="004B502E">
        <w:rPr>
          <w:rFonts w:ascii="Times New Roman" w:hAnsi="Times New Roman" w:cs="Times New Roman"/>
          <w:sz w:val="24"/>
          <w:szCs w:val="24"/>
        </w:rPr>
        <w:t xml:space="preserve">ans </w:t>
      </w:r>
      <w:r w:rsidR="007E421B">
        <w:rPr>
          <w:rFonts w:ascii="Times New Roman" w:hAnsi="Times New Roman" w:cs="Times New Roman"/>
          <w:sz w:val="24"/>
          <w:szCs w:val="24"/>
        </w:rPr>
        <w:t>required</w:t>
      </w:r>
      <w:r w:rsidR="007E421B" w:rsidRPr="004B502E">
        <w:rPr>
          <w:rFonts w:ascii="Times New Roman" w:hAnsi="Times New Roman" w:cs="Times New Roman"/>
          <w:sz w:val="24"/>
          <w:szCs w:val="24"/>
        </w:rPr>
        <w:t xml:space="preserve"> </w:t>
      </w:r>
      <w:r w:rsidR="00852351">
        <w:rPr>
          <w:rFonts w:ascii="Times New Roman" w:hAnsi="Times New Roman" w:cs="Times New Roman"/>
          <w:sz w:val="24"/>
          <w:szCs w:val="24"/>
        </w:rPr>
        <w:t>Islamic banks</w:t>
      </w:r>
      <w:r w:rsidR="00A92574" w:rsidRPr="004B502E">
        <w:rPr>
          <w:rFonts w:ascii="Times New Roman" w:hAnsi="Times New Roman" w:cs="Times New Roman"/>
          <w:sz w:val="24"/>
          <w:szCs w:val="24"/>
        </w:rPr>
        <w:t xml:space="preserve"> to engage in </w:t>
      </w:r>
      <w:r w:rsidR="007C06E7">
        <w:rPr>
          <w:rFonts w:ascii="Times New Roman" w:hAnsi="Times New Roman" w:cs="Times New Roman"/>
          <w:sz w:val="24"/>
          <w:szCs w:val="24"/>
        </w:rPr>
        <w:t xml:space="preserve">banking </w:t>
      </w:r>
      <w:r w:rsidR="00A92574" w:rsidRPr="004B502E">
        <w:rPr>
          <w:rFonts w:ascii="Times New Roman" w:hAnsi="Times New Roman" w:cs="Times New Roman"/>
          <w:sz w:val="24"/>
          <w:szCs w:val="24"/>
        </w:rPr>
        <w:t>activities</w:t>
      </w:r>
      <w:r w:rsidR="007C06E7">
        <w:rPr>
          <w:rFonts w:ascii="Times New Roman" w:hAnsi="Times New Roman" w:cs="Times New Roman"/>
          <w:sz w:val="24"/>
          <w:szCs w:val="24"/>
        </w:rPr>
        <w:t xml:space="preserve"> different from those of conventional banks</w:t>
      </w:r>
      <w:r w:rsidR="00A92574" w:rsidRPr="004B502E">
        <w:rPr>
          <w:rFonts w:ascii="Times New Roman" w:hAnsi="Times New Roman" w:cs="Times New Roman"/>
          <w:sz w:val="24"/>
          <w:szCs w:val="24"/>
        </w:rPr>
        <w:t>, and wo</w:t>
      </w:r>
      <w:r w:rsidR="00367B7A" w:rsidRPr="004B502E">
        <w:rPr>
          <w:rFonts w:ascii="Times New Roman" w:hAnsi="Times New Roman" w:cs="Times New Roman"/>
          <w:sz w:val="24"/>
          <w:szCs w:val="24"/>
        </w:rPr>
        <w:t>rk as investment intermediaries</w:t>
      </w:r>
      <w:r w:rsidR="00A92574" w:rsidRPr="004B502E">
        <w:rPr>
          <w:rFonts w:ascii="Times New Roman" w:hAnsi="Times New Roman" w:cs="Times New Roman"/>
          <w:sz w:val="24"/>
          <w:szCs w:val="24"/>
        </w:rPr>
        <w:t xml:space="preserve"> by deploying </w:t>
      </w:r>
      <w:r w:rsidR="007E421B" w:rsidRPr="004B502E">
        <w:rPr>
          <w:rFonts w:ascii="Times New Roman" w:hAnsi="Times New Roman" w:cs="Times New Roman"/>
          <w:sz w:val="24"/>
          <w:szCs w:val="24"/>
        </w:rPr>
        <w:t>profit</w:t>
      </w:r>
      <w:r w:rsidR="007E421B">
        <w:rPr>
          <w:rFonts w:ascii="Times New Roman" w:hAnsi="Times New Roman" w:cs="Times New Roman"/>
          <w:sz w:val="24"/>
          <w:szCs w:val="24"/>
        </w:rPr>
        <w:t>-</w:t>
      </w:r>
      <w:r w:rsidR="007E421B" w:rsidRPr="004B502E">
        <w:rPr>
          <w:rFonts w:ascii="Times New Roman" w:hAnsi="Times New Roman" w:cs="Times New Roman"/>
          <w:sz w:val="24"/>
          <w:szCs w:val="24"/>
        </w:rPr>
        <w:t>and</w:t>
      </w:r>
      <w:r w:rsidR="007E421B">
        <w:rPr>
          <w:rFonts w:ascii="Times New Roman" w:hAnsi="Times New Roman" w:cs="Times New Roman"/>
          <w:sz w:val="24"/>
          <w:szCs w:val="24"/>
        </w:rPr>
        <w:t>-</w:t>
      </w:r>
      <w:r w:rsidR="00B1484D" w:rsidRPr="004B502E">
        <w:rPr>
          <w:rFonts w:ascii="Times New Roman" w:hAnsi="Times New Roman" w:cs="Times New Roman"/>
          <w:sz w:val="24"/>
          <w:szCs w:val="24"/>
        </w:rPr>
        <w:t>loss sharing (</w:t>
      </w:r>
      <w:r w:rsidR="00A92574" w:rsidRPr="004B502E">
        <w:rPr>
          <w:rFonts w:ascii="Times New Roman" w:hAnsi="Times New Roman" w:cs="Times New Roman"/>
          <w:sz w:val="24"/>
          <w:szCs w:val="24"/>
        </w:rPr>
        <w:t>PLS</w:t>
      </w:r>
      <w:r w:rsidR="00B1484D" w:rsidRPr="004B502E">
        <w:rPr>
          <w:rFonts w:ascii="Times New Roman" w:hAnsi="Times New Roman" w:cs="Times New Roman"/>
          <w:sz w:val="24"/>
          <w:szCs w:val="24"/>
        </w:rPr>
        <w:t xml:space="preserve">) arrangements (Errico </w:t>
      </w:r>
      <w:r w:rsidR="00951213" w:rsidRPr="004B502E">
        <w:rPr>
          <w:rFonts w:ascii="Times New Roman" w:hAnsi="Times New Roman" w:cs="Times New Roman"/>
          <w:sz w:val="24"/>
          <w:szCs w:val="24"/>
        </w:rPr>
        <w:t>&amp;</w:t>
      </w:r>
      <w:r w:rsidR="00B1484D" w:rsidRPr="004B502E">
        <w:rPr>
          <w:rFonts w:ascii="Times New Roman" w:hAnsi="Times New Roman" w:cs="Times New Roman"/>
          <w:sz w:val="24"/>
          <w:szCs w:val="24"/>
        </w:rPr>
        <w:t xml:space="preserve"> </w:t>
      </w:r>
      <w:r w:rsidR="00BE47AE" w:rsidRPr="004B502E">
        <w:rPr>
          <w:rFonts w:ascii="Times New Roman" w:hAnsi="Times New Roman" w:cs="Times New Roman"/>
          <w:sz w:val="24"/>
          <w:szCs w:val="24"/>
        </w:rPr>
        <w:t>Farahbaksh</w:t>
      </w:r>
      <w:r w:rsidR="00B1484D" w:rsidRPr="004B502E">
        <w:rPr>
          <w:rFonts w:ascii="Times New Roman" w:hAnsi="Times New Roman" w:cs="Times New Roman"/>
          <w:sz w:val="24"/>
          <w:szCs w:val="24"/>
        </w:rPr>
        <w:t xml:space="preserve">, 1998). Under these </w:t>
      </w:r>
      <w:r w:rsidR="007C06E7">
        <w:rPr>
          <w:rFonts w:ascii="Times New Roman" w:hAnsi="Times New Roman" w:cs="Times New Roman"/>
          <w:sz w:val="24"/>
          <w:szCs w:val="24"/>
        </w:rPr>
        <w:t xml:space="preserve">PLS </w:t>
      </w:r>
      <w:r w:rsidR="00B1484D" w:rsidRPr="004B502E">
        <w:rPr>
          <w:rFonts w:ascii="Times New Roman" w:hAnsi="Times New Roman" w:cs="Times New Roman"/>
          <w:sz w:val="24"/>
          <w:szCs w:val="24"/>
        </w:rPr>
        <w:t>arrangements</w:t>
      </w:r>
      <w:r w:rsidR="007D0253" w:rsidRPr="004B502E">
        <w:rPr>
          <w:rFonts w:ascii="Times New Roman" w:hAnsi="Times New Roman" w:cs="Times New Roman"/>
          <w:sz w:val="24"/>
          <w:szCs w:val="24"/>
        </w:rPr>
        <w:t xml:space="preserve">, </w:t>
      </w:r>
      <w:r w:rsidR="00B1484D" w:rsidRPr="004B502E">
        <w:rPr>
          <w:rFonts w:ascii="Times New Roman" w:hAnsi="Times New Roman" w:cs="Times New Roman"/>
          <w:sz w:val="24"/>
          <w:szCs w:val="24"/>
        </w:rPr>
        <w:t xml:space="preserve">banks </w:t>
      </w:r>
      <w:r w:rsidR="007D0253" w:rsidRPr="004B502E">
        <w:rPr>
          <w:rFonts w:ascii="Times New Roman" w:hAnsi="Times New Roman" w:cs="Times New Roman"/>
          <w:sz w:val="24"/>
          <w:szCs w:val="24"/>
        </w:rPr>
        <w:t>engag</w:t>
      </w:r>
      <w:r w:rsidR="007E421B">
        <w:rPr>
          <w:rFonts w:ascii="Times New Roman" w:hAnsi="Times New Roman" w:cs="Times New Roman"/>
          <w:sz w:val="24"/>
          <w:szCs w:val="24"/>
        </w:rPr>
        <w:t>e</w:t>
      </w:r>
      <w:r w:rsidR="007D0253" w:rsidRPr="004B502E">
        <w:rPr>
          <w:rFonts w:ascii="Times New Roman" w:hAnsi="Times New Roman" w:cs="Times New Roman"/>
          <w:sz w:val="24"/>
          <w:szCs w:val="24"/>
        </w:rPr>
        <w:t xml:space="preserve"> in </w:t>
      </w:r>
      <w:r w:rsidR="00B1484D" w:rsidRPr="004B502E">
        <w:rPr>
          <w:rFonts w:ascii="Times New Roman" w:hAnsi="Times New Roman" w:cs="Times New Roman"/>
          <w:sz w:val="24"/>
          <w:szCs w:val="24"/>
        </w:rPr>
        <w:t>i</w:t>
      </w:r>
      <w:r w:rsidR="007D0253" w:rsidRPr="004B502E">
        <w:rPr>
          <w:rFonts w:ascii="Times New Roman" w:hAnsi="Times New Roman" w:cs="Times New Roman"/>
          <w:sz w:val="24"/>
          <w:szCs w:val="24"/>
        </w:rPr>
        <w:t>nvestment activities</w:t>
      </w:r>
      <w:r w:rsidR="00B1484D" w:rsidRPr="004B502E">
        <w:rPr>
          <w:rFonts w:ascii="Times New Roman" w:hAnsi="Times New Roman" w:cs="Times New Roman"/>
          <w:sz w:val="24"/>
          <w:szCs w:val="24"/>
        </w:rPr>
        <w:t xml:space="preserve"> with customers (</w:t>
      </w:r>
      <w:r w:rsidR="00867E85" w:rsidRPr="004B502E">
        <w:rPr>
          <w:rFonts w:ascii="Times New Roman" w:hAnsi="Times New Roman" w:cs="Times New Roman"/>
          <w:sz w:val="24"/>
          <w:szCs w:val="24"/>
        </w:rPr>
        <w:t>depending</w:t>
      </w:r>
      <w:r w:rsidR="00B1484D" w:rsidRPr="004B502E">
        <w:rPr>
          <w:rFonts w:ascii="Times New Roman" w:hAnsi="Times New Roman" w:cs="Times New Roman"/>
          <w:sz w:val="24"/>
          <w:szCs w:val="24"/>
        </w:rPr>
        <w:t xml:space="preserve"> on the contract type). Based on the PLS</w:t>
      </w:r>
      <w:r w:rsidR="00395F30" w:rsidRPr="004B502E">
        <w:rPr>
          <w:rFonts w:ascii="Times New Roman" w:hAnsi="Times New Roman" w:cs="Times New Roman"/>
          <w:sz w:val="24"/>
          <w:szCs w:val="24"/>
        </w:rPr>
        <w:t xml:space="preserve"> </w:t>
      </w:r>
      <w:r w:rsidR="00B1484D" w:rsidRPr="004B502E">
        <w:rPr>
          <w:rFonts w:ascii="Times New Roman" w:hAnsi="Times New Roman" w:cs="Times New Roman"/>
          <w:sz w:val="24"/>
          <w:szCs w:val="24"/>
        </w:rPr>
        <w:t>agreement and the contract type, risk</w:t>
      </w:r>
      <w:r w:rsidR="007C06E7">
        <w:rPr>
          <w:rFonts w:ascii="Times New Roman" w:hAnsi="Times New Roman" w:cs="Times New Roman"/>
          <w:sz w:val="24"/>
          <w:szCs w:val="24"/>
        </w:rPr>
        <w:t>s</w:t>
      </w:r>
      <w:r w:rsidR="00B1484D" w:rsidRPr="004B502E">
        <w:rPr>
          <w:rFonts w:ascii="Times New Roman" w:hAnsi="Times New Roman" w:cs="Times New Roman"/>
          <w:sz w:val="24"/>
          <w:szCs w:val="24"/>
        </w:rPr>
        <w:t xml:space="preserve"> and profit</w:t>
      </w:r>
      <w:r w:rsidR="007C06E7">
        <w:rPr>
          <w:rFonts w:ascii="Times New Roman" w:hAnsi="Times New Roman" w:cs="Times New Roman"/>
          <w:sz w:val="24"/>
          <w:szCs w:val="24"/>
        </w:rPr>
        <w:t>s</w:t>
      </w:r>
      <w:r w:rsidR="00B1484D" w:rsidRPr="004B502E">
        <w:rPr>
          <w:rFonts w:ascii="Times New Roman" w:hAnsi="Times New Roman" w:cs="Times New Roman"/>
          <w:sz w:val="24"/>
          <w:szCs w:val="24"/>
        </w:rPr>
        <w:t xml:space="preserve"> of the investment are shared between customers and the bank. In addition, </w:t>
      </w:r>
      <w:r w:rsidR="0066456D">
        <w:rPr>
          <w:rFonts w:ascii="Times New Roman" w:hAnsi="Times New Roman" w:cs="Times New Roman"/>
          <w:sz w:val="24"/>
          <w:szCs w:val="24"/>
        </w:rPr>
        <w:t xml:space="preserve">in order to </w:t>
      </w:r>
      <w:r w:rsidR="007C06E7">
        <w:rPr>
          <w:rFonts w:ascii="Times New Roman" w:hAnsi="Times New Roman" w:cs="Times New Roman"/>
          <w:sz w:val="24"/>
          <w:szCs w:val="24"/>
        </w:rPr>
        <w:t>increas</w:t>
      </w:r>
      <w:r w:rsidR="0066456D">
        <w:rPr>
          <w:rFonts w:ascii="Times New Roman" w:hAnsi="Times New Roman" w:cs="Times New Roman"/>
          <w:sz w:val="24"/>
          <w:szCs w:val="24"/>
        </w:rPr>
        <w:t>e</w:t>
      </w:r>
      <w:r w:rsidR="007C06E7">
        <w:rPr>
          <w:rFonts w:ascii="Times New Roman" w:hAnsi="Times New Roman" w:cs="Times New Roman"/>
          <w:sz w:val="24"/>
          <w:szCs w:val="24"/>
        </w:rPr>
        <w:t xml:space="preserve"> their profits, </w:t>
      </w:r>
      <w:r w:rsidR="00B1484D" w:rsidRPr="004B502E">
        <w:rPr>
          <w:rFonts w:ascii="Times New Roman" w:hAnsi="Times New Roman" w:cs="Times New Roman"/>
          <w:sz w:val="24"/>
          <w:szCs w:val="24"/>
        </w:rPr>
        <w:t xml:space="preserve">Islamic </w:t>
      </w:r>
      <w:r w:rsidR="0066456D">
        <w:rPr>
          <w:rFonts w:ascii="Times New Roman" w:hAnsi="Times New Roman" w:cs="Times New Roman"/>
          <w:sz w:val="24"/>
          <w:szCs w:val="24"/>
        </w:rPr>
        <w:t>b</w:t>
      </w:r>
      <w:r w:rsidR="00B1484D" w:rsidRPr="004B502E">
        <w:rPr>
          <w:rFonts w:ascii="Times New Roman" w:hAnsi="Times New Roman" w:cs="Times New Roman"/>
          <w:sz w:val="24"/>
          <w:szCs w:val="24"/>
        </w:rPr>
        <w:t xml:space="preserve">anks impose some fixed </w:t>
      </w:r>
      <w:r w:rsidR="002D1ADD" w:rsidRPr="004B502E">
        <w:rPr>
          <w:rFonts w:ascii="Times New Roman" w:hAnsi="Times New Roman" w:cs="Times New Roman"/>
          <w:sz w:val="24"/>
          <w:szCs w:val="24"/>
        </w:rPr>
        <w:t xml:space="preserve">administrative </w:t>
      </w:r>
      <w:r w:rsidR="00867E85" w:rsidRPr="004B502E">
        <w:rPr>
          <w:rFonts w:ascii="Times New Roman" w:hAnsi="Times New Roman" w:cs="Times New Roman"/>
          <w:sz w:val="24"/>
          <w:szCs w:val="24"/>
        </w:rPr>
        <w:t>fees on deposits</w:t>
      </w:r>
      <w:r w:rsidR="0066456D">
        <w:rPr>
          <w:rFonts w:ascii="Times New Roman" w:hAnsi="Times New Roman" w:cs="Times New Roman"/>
          <w:sz w:val="24"/>
          <w:szCs w:val="24"/>
        </w:rPr>
        <w:t>,</w:t>
      </w:r>
      <w:r w:rsidR="00867E85" w:rsidRPr="004B502E">
        <w:rPr>
          <w:rFonts w:ascii="Times New Roman" w:hAnsi="Times New Roman" w:cs="Times New Roman"/>
          <w:sz w:val="24"/>
          <w:szCs w:val="24"/>
        </w:rPr>
        <w:t xml:space="preserve"> depending</w:t>
      </w:r>
      <w:r w:rsidR="00B1484D" w:rsidRPr="004B502E">
        <w:rPr>
          <w:rFonts w:ascii="Times New Roman" w:hAnsi="Times New Roman" w:cs="Times New Roman"/>
          <w:sz w:val="24"/>
          <w:szCs w:val="24"/>
        </w:rPr>
        <w:t xml:space="preserve"> on the deposit type. </w:t>
      </w:r>
      <w:r w:rsidR="0046670C" w:rsidRPr="004B502E">
        <w:rPr>
          <w:rFonts w:ascii="Times New Roman" w:hAnsi="Times New Roman" w:cs="Times New Roman"/>
          <w:sz w:val="24"/>
          <w:szCs w:val="24"/>
        </w:rPr>
        <w:t xml:space="preserve"> </w:t>
      </w:r>
    </w:p>
    <w:p w:rsidR="009A158A" w:rsidRPr="004B502E" w:rsidRDefault="00D77E6B" w:rsidP="001D4AB4">
      <w:pPr>
        <w:spacing w:line="480" w:lineRule="auto"/>
        <w:ind w:firstLine="720"/>
        <w:rPr>
          <w:rFonts w:ascii="Times New Roman" w:hAnsi="Times New Roman" w:cs="Times New Roman"/>
          <w:sz w:val="24"/>
          <w:szCs w:val="24"/>
        </w:rPr>
      </w:pPr>
      <w:r w:rsidRPr="004B502E">
        <w:rPr>
          <w:rFonts w:ascii="Times New Roman" w:hAnsi="Times New Roman" w:cs="Times New Roman"/>
          <w:sz w:val="24"/>
          <w:szCs w:val="24"/>
        </w:rPr>
        <w:t>T</w:t>
      </w:r>
      <w:r w:rsidR="00A167D3" w:rsidRPr="004B502E">
        <w:rPr>
          <w:rFonts w:ascii="Times New Roman" w:hAnsi="Times New Roman" w:cs="Times New Roman"/>
          <w:sz w:val="24"/>
          <w:szCs w:val="24"/>
        </w:rPr>
        <w:t xml:space="preserve">he top 20 </w:t>
      </w:r>
      <w:r w:rsidR="00852351">
        <w:rPr>
          <w:rFonts w:ascii="Times New Roman" w:hAnsi="Times New Roman" w:cs="Times New Roman"/>
          <w:sz w:val="24"/>
          <w:szCs w:val="24"/>
        </w:rPr>
        <w:t>Islamic banks</w:t>
      </w:r>
      <w:r w:rsidR="00A167D3" w:rsidRPr="004B502E">
        <w:rPr>
          <w:rFonts w:ascii="Times New Roman" w:hAnsi="Times New Roman" w:cs="Times New Roman"/>
          <w:sz w:val="24"/>
          <w:szCs w:val="24"/>
        </w:rPr>
        <w:t xml:space="preserve"> </w:t>
      </w:r>
      <w:r w:rsidR="0066456D">
        <w:rPr>
          <w:rFonts w:ascii="Times New Roman" w:hAnsi="Times New Roman" w:cs="Times New Roman"/>
          <w:sz w:val="24"/>
          <w:szCs w:val="24"/>
        </w:rPr>
        <w:t>in</w:t>
      </w:r>
      <w:r w:rsidR="0066456D" w:rsidRPr="004B502E">
        <w:rPr>
          <w:rFonts w:ascii="Times New Roman" w:hAnsi="Times New Roman" w:cs="Times New Roman"/>
          <w:sz w:val="24"/>
          <w:szCs w:val="24"/>
        </w:rPr>
        <w:t xml:space="preserve"> </w:t>
      </w:r>
      <w:r w:rsidR="00A167D3" w:rsidRPr="004B502E">
        <w:rPr>
          <w:rFonts w:ascii="Times New Roman" w:hAnsi="Times New Roman" w:cs="Times New Roman"/>
          <w:sz w:val="24"/>
          <w:szCs w:val="24"/>
        </w:rPr>
        <w:t xml:space="preserve">the world, </w:t>
      </w:r>
      <w:r w:rsidRPr="004B502E">
        <w:rPr>
          <w:rFonts w:ascii="Times New Roman" w:hAnsi="Times New Roman" w:cs="Times New Roman"/>
          <w:sz w:val="24"/>
          <w:szCs w:val="24"/>
        </w:rPr>
        <w:t xml:space="preserve">which </w:t>
      </w:r>
      <w:r w:rsidR="0066456D">
        <w:rPr>
          <w:rFonts w:ascii="Times New Roman" w:hAnsi="Times New Roman" w:cs="Times New Roman"/>
          <w:sz w:val="24"/>
          <w:szCs w:val="24"/>
        </w:rPr>
        <w:t>hold</w:t>
      </w:r>
      <w:r w:rsidR="0066456D" w:rsidRPr="004B502E">
        <w:rPr>
          <w:rFonts w:ascii="Times New Roman" w:hAnsi="Times New Roman" w:cs="Times New Roman"/>
          <w:sz w:val="24"/>
          <w:szCs w:val="24"/>
        </w:rPr>
        <w:t xml:space="preserve"> </w:t>
      </w:r>
      <w:r w:rsidR="00A167D3" w:rsidRPr="004B502E">
        <w:rPr>
          <w:rFonts w:ascii="Times New Roman" w:hAnsi="Times New Roman" w:cs="Times New Roman"/>
          <w:sz w:val="24"/>
          <w:szCs w:val="24"/>
        </w:rPr>
        <w:t xml:space="preserve">nearly 57% of the whole Islamic banking </w:t>
      </w:r>
      <w:r w:rsidR="007C06E7" w:rsidRPr="004B502E">
        <w:rPr>
          <w:rFonts w:ascii="Times New Roman" w:hAnsi="Times New Roman" w:cs="Times New Roman"/>
          <w:sz w:val="24"/>
          <w:szCs w:val="24"/>
        </w:rPr>
        <w:t>assets,</w:t>
      </w:r>
      <w:r w:rsidRPr="004B502E">
        <w:rPr>
          <w:rFonts w:ascii="Times New Roman" w:hAnsi="Times New Roman" w:cs="Times New Roman"/>
          <w:sz w:val="24"/>
          <w:szCs w:val="24"/>
        </w:rPr>
        <w:t xml:space="preserve"> </w:t>
      </w:r>
      <w:r w:rsidR="00B34398" w:rsidRPr="004B502E">
        <w:rPr>
          <w:rFonts w:ascii="Times New Roman" w:hAnsi="Times New Roman" w:cs="Times New Roman"/>
          <w:sz w:val="24"/>
          <w:szCs w:val="24"/>
        </w:rPr>
        <w:t xml:space="preserve">are </w:t>
      </w:r>
      <w:r w:rsidRPr="004B502E">
        <w:rPr>
          <w:rFonts w:ascii="Times New Roman" w:hAnsi="Times New Roman" w:cs="Times New Roman"/>
          <w:sz w:val="24"/>
          <w:szCs w:val="24"/>
        </w:rPr>
        <w:t xml:space="preserve">concentrated in </w:t>
      </w:r>
      <w:r w:rsidR="0066456D">
        <w:rPr>
          <w:rFonts w:ascii="Times New Roman" w:hAnsi="Times New Roman" w:cs="Times New Roman"/>
          <w:sz w:val="24"/>
          <w:szCs w:val="24"/>
        </w:rPr>
        <w:t>seven</w:t>
      </w:r>
      <w:r w:rsidR="0066456D" w:rsidRPr="004B502E">
        <w:rPr>
          <w:rFonts w:ascii="Times New Roman" w:hAnsi="Times New Roman" w:cs="Times New Roman"/>
          <w:sz w:val="24"/>
          <w:szCs w:val="24"/>
        </w:rPr>
        <w:t xml:space="preserve"> </w:t>
      </w:r>
      <w:r w:rsidR="00BD6557">
        <w:rPr>
          <w:rFonts w:ascii="Times New Roman" w:hAnsi="Times New Roman" w:cs="Times New Roman"/>
          <w:sz w:val="24"/>
          <w:szCs w:val="24"/>
        </w:rPr>
        <w:t>countries, namely Saudi</w:t>
      </w:r>
      <w:r w:rsidRPr="004B502E">
        <w:rPr>
          <w:rFonts w:ascii="Times New Roman" w:hAnsi="Times New Roman" w:cs="Times New Roman"/>
          <w:sz w:val="24"/>
          <w:szCs w:val="24"/>
        </w:rPr>
        <w:t xml:space="preserve"> Arabia, Kuwait, </w:t>
      </w:r>
      <w:r w:rsidR="007C06E7">
        <w:rPr>
          <w:rFonts w:ascii="Times New Roman" w:hAnsi="Times New Roman" w:cs="Times New Roman"/>
          <w:sz w:val="24"/>
          <w:szCs w:val="24"/>
        </w:rPr>
        <w:t>United Arab Emirates (</w:t>
      </w:r>
      <w:r w:rsidRPr="004B502E">
        <w:rPr>
          <w:rFonts w:ascii="Times New Roman" w:hAnsi="Times New Roman" w:cs="Times New Roman"/>
          <w:sz w:val="24"/>
          <w:szCs w:val="24"/>
        </w:rPr>
        <w:t>UAE</w:t>
      </w:r>
      <w:r w:rsidR="007C06E7">
        <w:rPr>
          <w:rFonts w:ascii="Times New Roman" w:hAnsi="Times New Roman" w:cs="Times New Roman"/>
          <w:sz w:val="24"/>
          <w:szCs w:val="24"/>
        </w:rPr>
        <w:t>)</w:t>
      </w:r>
      <w:r w:rsidRPr="004B502E">
        <w:rPr>
          <w:rFonts w:ascii="Times New Roman" w:hAnsi="Times New Roman" w:cs="Times New Roman"/>
          <w:sz w:val="24"/>
          <w:szCs w:val="24"/>
        </w:rPr>
        <w:t>, Bahrain, Qatar, Malaysia</w:t>
      </w:r>
      <w:r w:rsidR="0066456D">
        <w:rPr>
          <w:rFonts w:ascii="Times New Roman" w:hAnsi="Times New Roman" w:cs="Times New Roman"/>
          <w:sz w:val="24"/>
          <w:szCs w:val="24"/>
        </w:rPr>
        <w:t>,</w:t>
      </w:r>
      <w:r w:rsidRPr="004B502E">
        <w:rPr>
          <w:rFonts w:ascii="Times New Roman" w:hAnsi="Times New Roman" w:cs="Times New Roman"/>
          <w:sz w:val="24"/>
          <w:szCs w:val="24"/>
        </w:rPr>
        <w:t xml:space="preserve"> and Turkey</w:t>
      </w:r>
      <w:r w:rsidR="00410019">
        <w:rPr>
          <w:rFonts w:ascii="Times New Roman" w:hAnsi="Times New Roman" w:cs="Times New Roman"/>
          <w:sz w:val="24"/>
          <w:szCs w:val="24"/>
        </w:rPr>
        <w:t xml:space="preserve"> </w:t>
      </w:r>
      <w:r w:rsidR="00362F44">
        <w:rPr>
          <w:rFonts w:ascii="Times New Roman" w:hAnsi="Times New Roman" w:cs="Times New Roman"/>
          <w:sz w:val="24"/>
          <w:szCs w:val="24"/>
        </w:rPr>
        <w:t>(The Peninsula</w:t>
      </w:r>
      <w:r w:rsidR="0068315A" w:rsidRPr="0068315A">
        <w:rPr>
          <w:rFonts w:ascii="Times New Roman" w:hAnsi="Times New Roman" w:cs="Times New Roman"/>
          <w:sz w:val="24"/>
          <w:szCs w:val="24"/>
        </w:rPr>
        <w:t>, 2012</w:t>
      </w:r>
      <w:r w:rsidR="00410019">
        <w:rPr>
          <w:rFonts w:ascii="Times New Roman" w:hAnsi="Times New Roman" w:cs="Times New Roman"/>
          <w:sz w:val="24"/>
          <w:szCs w:val="24"/>
        </w:rPr>
        <w:t>)</w:t>
      </w:r>
      <w:r w:rsidRPr="004B502E">
        <w:rPr>
          <w:rFonts w:ascii="Times New Roman" w:hAnsi="Times New Roman" w:cs="Times New Roman"/>
          <w:sz w:val="24"/>
          <w:szCs w:val="24"/>
        </w:rPr>
        <w:t>.</w:t>
      </w:r>
      <w:r w:rsidR="00A167D3" w:rsidRPr="004B502E">
        <w:rPr>
          <w:rFonts w:ascii="Times New Roman" w:hAnsi="Times New Roman" w:cs="Times New Roman"/>
          <w:sz w:val="24"/>
          <w:szCs w:val="24"/>
        </w:rPr>
        <w:t xml:space="preserve"> </w:t>
      </w:r>
      <w:r w:rsidRPr="004B502E">
        <w:rPr>
          <w:rFonts w:ascii="Times New Roman" w:hAnsi="Times New Roman" w:cs="Times New Roman"/>
          <w:sz w:val="24"/>
          <w:szCs w:val="24"/>
        </w:rPr>
        <w:t>Th</w:t>
      </w:r>
      <w:r w:rsidR="0066456D">
        <w:rPr>
          <w:rFonts w:ascii="Times New Roman" w:hAnsi="Times New Roman" w:cs="Times New Roman"/>
          <w:sz w:val="24"/>
          <w:szCs w:val="24"/>
        </w:rPr>
        <w:t>e</w:t>
      </w:r>
      <w:r w:rsidRPr="004B502E">
        <w:rPr>
          <w:rFonts w:ascii="Times New Roman" w:hAnsi="Times New Roman" w:cs="Times New Roman"/>
          <w:sz w:val="24"/>
          <w:szCs w:val="24"/>
        </w:rPr>
        <w:t xml:space="preserve">se countries are considered </w:t>
      </w:r>
      <w:r w:rsidR="0066456D">
        <w:rPr>
          <w:rFonts w:ascii="Times New Roman" w:hAnsi="Times New Roman" w:cs="Times New Roman"/>
          <w:sz w:val="24"/>
          <w:szCs w:val="24"/>
        </w:rPr>
        <w:t>to use</w:t>
      </w:r>
      <w:r w:rsidR="0066456D" w:rsidRPr="004B502E">
        <w:rPr>
          <w:rFonts w:ascii="Times New Roman" w:hAnsi="Times New Roman" w:cs="Times New Roman"/>
          <w:sz w:val="24"/>
          <w:szCs w:val="24"/>
        </w:rPr>
        <w:t xml:space="preserve"> </w:t>
      </w:r>
      <w:r w:rsidRPr="004B502E">
        <w:rPr>
          <w:rFonts w:ascii="Times New Roman" w:hAnsi="Times New Roman" w:cs="Times New Roman"/>
          <w:sz w:val="24"/>
          <w:szCs w:val="24"/>
        </w:rPr>
        <w:t xml:space="preserve">the best practices </w:t>
      </w:r>
      <w:r w:rsidR="007C06E7">
        <w:rPr>
          <w:rFonts w:ascii="Times New Roman" w:hAnsi="Times New Roman" w:cs="Times New Roman"/>
          <w:sz w:val="24"/>
          <w:szCs w:val="24"/>
        </w:rPr>
        <w:t>based on</w:t>
      </w:r>
      <w:r w:rsidR="00C631CA" w:rsidRPr="004B502E">
        <w:rPr>
          <w:rFonts w:ascii="Times New Roman" w:hAnsi="Times New Roman" w:cs="Times New Roman"/>
          <w:sz w:val="24"/>
          <w:szCs w:val="24"/>
        </w:rPr>
        <w:t xml:space="preserve"> </w:t>
      </w:r>
      <w:r w:rsidRPr="004B502E">
        <w:rPr>
          <w:rFonts w:ascii="Times New Roman" w:hAnsi="Times New Roman" w:cs="Times New Roman"/>
          <w:sz w:val="24"/>
          <w:szCs w:val="24"/>
        </w:rPr>
        <w:t>the Islamic banking implementation</w:t>
      </w:r>
      <w:r w:rsidR="00C631CA" w:rsidRPr="004B502E">
        <w:rPr>
          <w:rFonts w:ascii="Times New Roman" w:hAnsi="Times New Roman" w:cs="Times New Roman"/>
          <w:sz w:val="24"/>
          <w:szCs w:val="24"/>
        </w:rPr>
        <w:t xml:space="preserve"> experience</w:t>
      </w:r>
      <w:r w:rsidRPr="004B502E">
        <w:rPr>
          <w:rFonts w:ascii="Times New Roman" w:hAnsi="Times New Roman" w:cs="Times New Roman"/>
          <w:sz w:val="24"/>
          <w:szCs w:val="24"/>
        </w:rPr>
        <w:t xml:space="preserve">. </w:t>
      </w:r>
      <w:r w:rsidR="00B34398" w:rsidRPr="004B502E">
        <w:rPr>
          <w:rFonts w:ascii="Times New Roman" w:hAnsi="Times New Roman" w:cs="Times New Roman"/>
          <w:sz w:val="24"/>
          <w:szCs w:val="24"/>
        </w:rPr>
        <w:t>Among those countries, Malaysia</w:t>
      </w:r>
      <w:r w:rsidR="00C631CA" w:rsidRPr="004B502E">
        <w:rPr>
          <w:rFonts w:ascii="Times New Roman" w:hAnsi="Times New Roman" w:cs="Times New Roman"/>
          <w:sz w:val="24"/>
          <w:szCs w:val="24"/>
        </w:rPr>
        <w:t xml:space="preserve">n Islamic </w:t>
      </w:r>
      <w:r w:rsidR="0066456D">
        <w:rPr>
          <w:rFonts w:ascii="Times New Roman" w:hAnsi="Times New Roman" w:cs="Times New Roman"/>
          <w:sz w:val="24"/>
          <w:szCs w:val="24"/>
        </w:rPr>
        <w:t>b</w:t>
      </w:r>
      <w:r w:rsidR="00C631CA" w:rsidRPr="004B502E">
        <w:rPr>
          <w:rFonts w:ascii="Times New Roman" w:hAnsi="Times New Roman" w:cs="Times New Roman"/>
          <w:sz w:val="24"/>
          <w:szCs w:val="24"/>
        </w:rPr>
        <w:t>anks hold</w:t>
      </w:r>
      <w:r w:rsidRPr="004B502E">
        <w:rPr>
          <w:rFonts w:ascii="Times New Roman" w:hAnsi="Times New Roman" w:cs="Times New Roman"/>
          <w:sz w:val="24"/>
          <w:szCs w:val="24"/>
        </w:rPr>
        <w:t xml:space="preserve"> second place </w:t>
      </w:r>
      <w:r w:rsidR="0066456D">
        <w:rPr>
          <w:rFonts w:ascii="Times New Roman" w:hAnsi="Times New Roman" w:cs="Times New Roman"/>
          <w:sz w:val="24"/>
          <w:szCs w:val="24"/>
        </w:rPr>
        <w:t>with</w:t>
      </w:r>
      <w:r w:rsidR="0066456D" w:rsidRPr="004B502E">
        <w:rPr>
          <w:rFonts w:ascii="Times New Roman" w:hAnsi="Times New Roman" w:cs="Times New Roman"/>
          <w:sz w:val="24"/>
          <w:szCs w:val="24"/>
        </w:rPr>
        <w:t xml:space="preserve"> </w:t>
      </w:r>
      <w:r w:rsidRPr="004B502E">
        <w:rPr>
          <w:rFonts w:ascii="Times New Roman" w:hAnsi="Times New Roman" w:cs="Times New Roman"/>
          <w:sz w:val="24"/>
          <w:szCs w:val="24"/>
        </w:rPr>
        <w:t xml:space="preserve">regard to the </w:t>
      </w:r>
      <w:r w:rsidR="00B34398" w:rsidRPr="004B502E">
        <w:rPr>
          <w:rFonts w:ascii="Times New Roman" w:hAnsi="Times New Roman" w:cs="Times New Roman"/>
          <w:sz w:val="24"/>
          <w:szCs w:val="24"/>
        </w:rPr>
        <w:t xml:space="preserve">amount of </w:t>
      </w:r>
      <w:r w:rsidRPr="004B502E">
        <w:rPr>
          <w:rFonts w:ascii="Times New Roman" w:hAnsi="Times New Roman" w:cs="Times New Roman"/>
          <w:sz w:val="24"/>
          <w:szCs w:val="24"/>
        </w:rPr>
        <w:t>banking assets</w:t>
      </w:r>
      <w:r w:rsidR="00B34398" w:rsidRPr="004B502E">
        <w:rPr>
          <w:rFonts w:ascii="Times New Roman" w:hAnsi="Times New Roman" w:cs="Times New Roman"/>
          <w:sz w:val="24"/>
          <w:szCs w:val="24"/>
        </w:rPr>
        <w:t xml:space="preserve">. However, </w:t>
      </w:r>
      <w:r w:rsidR="00D4736F" w:rsidRPr="004B502E">
        <w:rPr>
          <w:rFonts w:ascii="Times New Roman" w:hAnsi="Times New Roman" w:cs="Times New Roman"/>
          <w:sz w:val="24"/>
          <w:szCs w:val="24"/>
        </w:rPr>
        <w:t xml:space="preserve">the performance of Malaysian </w:t>
      </w:r>
      <w:r w:rsidR="00852351">
        <w:rPr>
          <w:rFonts w:ascii="Times New Roman" w:hAnsi="Times New Roman" w:cs="Times New Roman"/>
          <w:sz w:val="24"/>
          <w:szCs w:val="24"/>
        </w:rPr>
        <w:t>Islamic banks</w:t>
      </w:r>
      <w:r w:rsidR="00D4736F" w:rsidRPr="004B502E">
        <w:rPr>
          <w:rFonts w:ascii="Times New Roman" w:hAnsi="Times New Roman" w:cs="Times New Roman"/>
          <w:sz w:val="24"/>
          <w:szCs w:val="24"/>
        </w:rPr>
        <w:t xml:space="preserve"> w</w:t>
      </w:r>
      <w:r w:rsidR="00D4736F">
        <w:rPr>
          <w:rFonts w:ascii="Times New Roman" w:hAnsi="Times New Roman" w:cs="Times New Roman"/>
          <w:sz w:val="24"/>
          <w:szCs w:val="24"/>
        </w:rPr>
        <w:t>as</w:t>
      </w:r>
      <w:r w:rsidR="00D4736F" w:rsidRPr="004B502E">
        <w:rPr>
          <w:rFonts w:ascii="Times New Roman" w:hAnsi="Times New Roman" w:cs="Times New Roman"/>
          <w:sz w:val="24"/>
          <w:szCs w:val="24"/>
        </w:rPr>
        <w:t xml:space="preserve"> analyzed in </w:t>
      </w:r>
      <w:r w:rsidR="00B34398" w:rsidRPr="004B502E">
        <w:rPr>
          <w:rFonts w:ascii="Times New Roman" w:hAnsi="Times New Roman" w:cs="Times New Roman"/>
          <w:sz w:val="24"/>
          <w:szCs w:val="24"/>
        </w:rPr>
        <w:t xml:space="preserve">only </w:t>
      </w:r>
      <w:r w:rsidR="00D4736F">
        <w:rPr>
          <w:rFonts w:ascii="Times New Roman" w:hAnsi="Times New Roman" w:cs="Times New Roman"/>
          <w:sz w:val="24"/>
          <w:szCs w:val="24"/>
        </w:rPr>
        <w:t xml:space="preserve">a </w:t>
      </w:r>
      <w:r w:rsidR="00B34398" w:rsidRPr="004B502E">
        <w:rPr>
          <w:rFonts w:ascii="Times New Roman" w:hAnsi="Times New Roman" w:cs="Times New Roman"/>
          <w:sz w:val="24"/>
          <w:szCs w:val="24"/>
        </w:rPr>
        <w:t>few studies (e.g.</w:t>
      </w:r>
      <w:r w:rsidR="00D4736F">
        <w:rPr>
          <w:rFonts w:ascii="Times New Roman" w:hAnsi="Times New Roman" w:cs="Times New Roman"/>
          <w:sz w:val="24"/>
          <w:szCs w:val="24"/>
        </w:rPr>
        <w:t>,</w:t>
      </w:r>
      <w:r w:rsidR="00B34398" w:rsidRPr="004B502E">
        <w:rPr>
          <w:rFonts w:ascii="Times New Roman" w:hAnsi="Times New Roman" w:cs="Times New Roman"/>
          <w:sz w:val="24"/>
          <w:szCs w:val="24"/>
        </w:rPr>
        <w:t xml:space="preserve"> Idris et al., 2011; Kok</w:t>
      </w:r>
      <w:r w:rsidR="00D4736F">
        <w:rPr>
          <w:rFonts w:ascii="Times New Roman" w:hAnsi="Times New Roman" w:cs="Times New Roman"/>
          <w:sz w:val="24"/>
          <w:szCs w:val="24"/>
        </w:rPr>
        <w:t>, Tan, Yong, &amp; Tan,</w:t>
      </w:r>
      <w:r w:rsidR="00B34398" w:rsidRPr="004B502E">
        <w:rPr>
          <w:rFonts w:ascii="Times New Roman" w:hAnsi="Times New Roman" w:cs="Times New Roman"/>
          <w:sz w:val="24"/>
          <w:szCs w:val="24"/>
        </w:rPr>
        <w:t xml:space="preserve"> 2012; </w:t>
      </w:r>
      <w:r w:rsidR="00A441B6" w:rsidRPr="004B502E">
        <w:rPr>
          <w:rFonts w:ascii="Times New Roman" w:hAnsi="Times New Roman" w:cs="Times New Roman"/>
          <w:sz w:val="24"/>
          <w:szCs w:val="24"/>
        </w:rPr>
        <w:t>Wasiuzzaman &amp; Tarmizi</w:t>
      </w:r>
      <w:r w:rsidR="00D4736F">
        <w:rPr>
          <w:rFonts w:ascii="Times New Roman" w:hAnsi="Times New Roman" w:cs="Times New Roman"/>
          <w:sz w:val="24"/>
          <w:szCs w:val="24"/>
        </w:rPr>
        <w:t>,</w:t>
      </w:r>
      <w:r w:rsidR="00D4736F" w:rsidRPr="004B502E">
        <w:rPr>
          <w:rFonts w:ascii="Times New Roman" w:hAnsi="Times New Roman" w:cs="Times New Roman"/>
          <w:sz w:val="24"/>
          <w:szCs w:val="24"/>
        </w:rPr>
        <w:t xml:space="preserve"> </w:t>
      </w:r>
      <w:r w:rsidR="00A441B6" w:rsidRPr="004B502E">
        <w:rPr>
          <w:rFonts w:ascii="Times New Roman" w:hAnsi="Times New Roman" w:cs="Times New Roman"/>
          <w:sz w:val="24"/>
          <w:szCs w:val="24"/>
        </w:rPr>
        <w:t xml:space="preserve">2010). </w:t>
      </w:r>
      <w:r w:rsidR="00BD193A">
        <w:rPr>
          <w:rFonts w:ascii="Times New Roman" w:hAnsi="Times New Roman" w:cs="Times New Roman"/>
          <w:sz w:val="24"/>
          <w:szCs w:val="24"/>
        </w:rPr>
        <w:t>T</w:t>
      </w:r>
      <w:r w:rsidR="00AC0AD9">
        <w:rPr>
          <w:rFonts w:ascii="Times New Roman" w:hAnsi="Times New Roman" w:cs="Times New Roman"/>
          <w:sz w:val="24"/>
          <w:szCs w:val="24"/>
        </w:rPr>
        <w:t>h</w:t>
      </w:r>
      <w:r w:rsidR="00BD193A">
        <w:rPr>
          <w:rFonts w:ascii="Times New Roman" w:hAnsi="Times New Roman" w:cs="Times New Roman"/>
          <w:sz w:val="24"/>
          <w:szCs w:val="24"/>
        </w:rPr>
        <w:t>e</w:t>
      </w:r>
      <w:r w:rsidR="00AC0AD9">
        <w:rPr>
          <w:rFonts w:ascii="Times New Roman" w:hAnsi="Times New Roman" w:cs="Times New Roman"/>
          <w:sz w:val="24"/>
          <w:szCs w:val="24"/>
        </w:rPr>
        <w:t>se studies had certain limitations with regard</w:t>
      </w:r>
      <w:r w:rsidR="00BD193A">
        <w:rPr>
          <w:rFonts w:ascii="Times New Roman" w:hAnsi="Times New Roman" w:cs="Times New Roman"/>
          <w:sz w:val="24"/>
          <w:szCs w:val="24"/>
        </w:rPr>
        <w:t xml:space="preserve"> to </w:t>
      </w:r>
      <w:r w:rsidR="00AC0AD9">
        <w:rPr>
          <w:rFonts w:ascii="Times New Roman" w:hAnsi="Times New Roman" w:cs="Times New Roman"/>
          <w:sz w:val="24"/>
          <w:szCs w:val="24"/>
        </w:rPr>
        <w:t>sample</w:t>
      </w:r>
      <w:r w:rsidR="00BD193A">
        <w:rPr>
          <w:rFonts w:ascii="Times New Roman" w:hAnsi="Times New Roman" w:cs="Times New Roman"/>
          <w:sz w:val="24"/>
          <w:szCs w:val="24"/>
        </w:rPr>
        <w:t xml:space="preserve"> data</w:t>
      </w:r>
      <w:r w:rsidR="00AC0AD9">
        <w:rPr>
          <w:rFonts w:ascii="Times New Roman" w:hAnsi="Times New Roman" w:cs="Times New Roman"/>
          <w:sz w:val="24"/>
          <w:szCs w:val="24"/>
        </w:rPr>
        <w:t xml:space="preserve">, </w:t>
      </w:r>
      <w:r w:rsidR="00BD193A">
        <w:rPr>
          <w:rFonts w:ascii="Times New Roman" w:hAnsi="Times New Roman" w:cs="Times New Roman"/>
          <w:sz w:val="24"/>
          <w:szCs w:val="24"/>
        </w:rPr>
        <w:t xml:space="preserve">statistical analysis, and the </w:t>
      </w:r>
      <w:r w:rsidR="00AC0AD9">
        <w:rPr>
          <w:rFonts w:ascii="Times New Roman" w:hAnsi="Times New Roman" w:cs="Times New Roman"/>
          <w:sz w:val="24"/>
          <w:szCs w:val="24"/>
        </w:rPr>
        <w:t>methodology</w:t>
      </w:r>
      <w:r w:rsidR="00BD193A">
        <w:rPr>
          <w:rFonts w:ascii="Times New Roman" w:hAnsi="Times New Roman" w:cs="Times New Roman"/>
          <w:sz w:val="24"/>
          <w:szCs w:val="24"/>
        </w:rPr>
        <w:t>.</w:t>
      </w:r>
      <w:r w:rsidR="00AC0AD9">
        <w:rPr>
          <w:rFonts w:ascii="Times New Roman" w:hAnsi="Times New Roman" w:cs="Times New Roman"/>
          <w:sz w:val="24"/>
          <w:szCs w:val="24"/>
        </w:rPr>
        <w:t xml:space="preserve"> Considering those limitations, and the success of Malaysia in implementation of Islamic banking concepts, </w:t>
      </w:r>
      <w:r w:rsidR="00A441B6" w:rsidRPr="004B502E">
        <w:rPr>
          <w:rFonts w:ascii="Times New Roman" w:hAnsi="Times New Roman" w:cs="Times New Roman"/>
          <w:sz w:val="24"/>
          <w:szCs w:val="24"/>
        </w:rPr>
        <w:t xml:space="preserve">in the current study </w:t>
      </w:r>
      <w:r w:rsidR="00C631CA" w:rsidRPr="004B502E">
        <w:rPr>
          <w:rFonts w:ascii="Times New Roman" w:hAnsi="Times New Roman" w:cs="Times New Roman"/>
          <w:sz w:val="24"/>
          <w:szCs w:val="24"/>
        </w:rPr>
        <w:t>we focus</w:t>
      </w:r>
      <w:r w:rsidR="00A441B6" w:rsidRPr="004B502E">
        <w:rPr>
          <w:rFonts w:ascii="Times New Roman" w:hAnsi="Times New Roman" w:cs="Times New Roman"/>
          <w:sz w:val="24"/>
          <w:szCs w:val="24"/>
        </w:rPr>
        <w:t xml:space="preserve"> on the performance </w:t>
      </w:r>
      <w:r w:rsidR="004C247C">
        <w:rPr>
          <w:rFonts w:ascii="Times New Roman" w:hAnsi="Times New Roman" w:cs="Times New Roman"/>
          <w:sz w:val="24"/>
          <w:szCs w:val="24"/>
        </w:rPr>
        <w:t xml:space="preserve">of </w:t>
      </w:r>
      <w:r w:rsidR="00A441B6" w:rsidRPr="004B502E">
        <w:rPr>
          <w:rFonts w:ascii="Times New Roman" w:hAnsi="Times New Roman" w:cs="Times New Roman"/>
          <w:sz w:val="24"/>
          <w:szCs w:val="24"/>
        </w:rPr>
        <w:t>Malaysia</w:t>
      </w:r>
      <w:r w:rsidR="004C247C">
        <w:rPr>
          <w:rFonts w:ascii="Times New Roman" w:hAnsi="Times New Roman" w:cs="Times New Roman"/>
          <w:sz w:val="24"/>
          <w:szCs w:val="24"/>
        </w:rPr>
        <w:t xml:space="preserve">n </w:t>
      </w:r>
      <w:r w:rsidR="00852351">
        <w:rPr>
          <w:rFonts w:ascii="Times New Roman" w:hAnsi="Times New Roman" w:cs="Times New Roman"/>
          <w:sz w:val="24"/>
          <w:szCs w:val="24"/>
        </w:rPr>
        <w:t>Islamic banks</w:t>
      </w:r>
      <w:r w:rsidR="00A441B6" w:rsidRPr="004B502E">
        <w:rPr>
          <w:rFonts w:ascii="Times New Roman" w:hAnsi="Times New Roman" w:cs="Times New Roman"/>
          <w:sz w:val="24"/>
          <w:szCs w:val="24"/>
        </w:rPr>
        <w:t xml:space="preserve"> and</w:t>
      </w:r>
      <w:r w:rsidR="004C247C">
        <w:rPr>
          <w:rFonts w:ascii="Times New Roman" w:hAnsi="Times New Roman" w:cs="Times New Roman"/>
          <w:sz w:val="24"/>
          <w:szCs w:val="24"/>
        </w:rPr>
        <w:t xml:space="preserve"> the factors that affect their</w:t>
      </w:r>
      <w:r w:rsidR="00A441B6" w:rsidRPr="004B502E">
        <w:rPr>
          <w:rFonts w:ascii="Times New Roman" w:hAnsi="Times New Roman" w:cs="Times New Roman"/>
          <w:sz w:val="24"/>
          <w:szCs w:val="24"/>
        </w:rPr>
        <w:t xml:space="preserve"> performance</w:t>
      </w:r>
      <w:r w:rsidR="009A158A" w:rsidRPr="004B502E">
        <w:rPr>
          <w:rFonts w:ascii="Times New Roman" w:hAnsi="Times New Roman" w:cs="Times New Roman"/>
          <w:sz w:val="24"/>
          <w:szCs w:val="24"/>
        </w:rPr>
        <w:t>.</w:t>
      </w:r>
      <w:r w:rsidR="00FC1D95">
        <w:rPr>
          <w:rFonts w:ascii="Times New Roman" w:hAnsi="Times New Roman" w:cs="Times New Roman"/>
          <w:sz w:val="24"/>
          <w:szCs w:val="24"/>
        </w:rPr>
        <w:t xml:space="preserve"> As the measure of performance the ratio of ROA (return on assets) will be used. </w:t>
      </w:r>
    </w:p>
    <w:p w:rsidR="00147551" w:rsidRPr="001D4AB4" w:rsidRDefault="00021654" w:rsidP="001D4AB4">
      <w:pPr>
        <w:pStyle w:val="Heading2"/>
        <w:spacing w:line="480" w:lineRule="auto"/>
        <w:rPr>
          <w:rFonts w:ascii="Times New Roman" w:hAnsi="Times New Roman" w:cs="Times New Roman"/>
          <w:color w:val="auto"/>
          <w:sz w:val="24"/>
        </w:rPr>
      </w:pPr>
      <w:bookmarkStart w:id="6" w:name="_Toc346718427"/>
      <w:r w:rsidRPr="001D4AB4">
        <w:rPr>
          <w:rFonts w:ascii="Times New Roman" w:hAnsi="Times New Roman" w:cs="Times New Roman"/>
          <w:color w:val="auto"/>
          <w:sz w:val="24"/>
        </w:rPr>
        <w:t xml:space="preserve">1.2. Objectives </w:t>
      </w:r>
      <w:r w:rsidR="005C242E">
        <w:rPr>
          <w:rFonts w:ascii="Times New Roman" w:hAnsi="Times New Roman" w:cs="Times New Roman"/>
          <w:color w:val="auto"/>
          <w:sz w:val="24"/>
        </w:rPr>
        <w:t>and Implications</w:t>
      </w:r>
      <w:bookmarkEnd w:id="6"/>
    </w:p>
    <w:p w:rsidR="00665CB5" w:rsidRPr="004B502E" w:rsidRDefault="006966A7" w:rsidP="001D4AB4">
      <w:pPr>
        <w:pStyle w:val="CommentText"/>
        <w:spacing w:line="480" w:lineRule="auto"/>
        <w:ind w:firstLine="720"/>
        <w:rPr>
          <w:rFonts w:ascii="Times New Roman" w:hAnsi="Times New Roman" w:cs="Times New Roman"/>
          <w:sz w:val="24"/>
          <w:szCs w:val="24"/>
        </w:rPr>
      </w:pPr>
      <w:bookmarkStart w:id="7" w:name="_Toc327132070"/>
      <w:r w:rsidRPr="004B502E">
        <w:rPr>
          <w:rFonts w:ascii="Times New Roman" w:hAnsi="Times New Roman" w:cs="Times New Roman"/>
          <w:sz w:val="24"/>
          <w:szCs w:val="24"/>
        </w:rPr>
        <w:t xml:space="preserve">The objective of this study is to </w:t>
      </w:r>
      <w:r w:rsidR="00665CB5" w:rsidRPr="004B502E">
        <w:rPr>
          <w:rFonts w:ascii="Times New Roman" w:hAnsi="Times New Roman" w:cs="Times New Roman"/>
          <w:sz w:val="24"/>
          <w:szCs w:val="24"/>
        </w:rPr>
        <w:t xml:space="preserve">analyze the impact of the internal and external factors on the performance of </w:t>
      </w:r>
      <w:r w:rsidR="00852351">
        <w:rPr>
          <w:rFonts w:ascii="Times New Roman" w:hAnsi="Times New Roman" w:cs="Times New Roman"/>
          <w:sz w:val="24"/>
          <w:szCs w:val="24"/>
        </w:rPr>
        <w:t>Islamic banks</w:t>
      </w:r>
      <w:r w:rsidR="00665CB5" w:rsidRPr="004B502E">
        <w:rPr>
          <w:rFonts w:ascii="Times New Roman" w:hAnsi="Times New Roman" w:cs="Times New Roman"/>
          <w:sz w:val="24"/>
          <w:szCs w:val="24"/>
        </w:rPr>
        <w:t xml:space="preserve">. Furthermore, we will </w:t>
      </w:r>
      <w:r w:rsidR="0077123F">
        <w:rPr>
          <w:rFonts w:ascii="Times New Roman" w:hAnsi="Times New Roman" w:cs="Times New Roman"/>
          <w:sz w:val="24"/>
          <w:szCs w:val="24"/>
        </w:rPr>
        <w:t>conduct an analysis for examining</w:t>
      </w:r>
      <w:r w:rsidR="00665CB5" w:rsidRPr="004B502E">
        <w:rPr>
          <w:rFonts w:ascii="Times New Roman" w:hAnsi="Times New Roman" w:cs="Times New Roman"/>
          <w:sz w:val="24"/>
          <w:szCs w:val="24"/>
        </w:rPr>
        <w:t xml:space="preserve"> t</w:t>
      </w:r>
      <w:r w:rsidR="0077123F">
        <w:rPr>
          <w:rFonts w:ascii="Times New Roman" w:hAnsi="Times New Roman" w:cs="Times New Roman"/>
          <w:sz w:val="24"/>
          <w:szCs w:val="24"/>
        </w:rPr>
        <w:t>he robustness of this impact.</w:t>
      </w:r>
    </w:p>
    <w:p w:rsidR="0090247D" w:rsidRPr="004B502E" w:rsidRDefault="001C70BF" w:rsidP="0090247D">
      <w:pPr>
        <w:pStyle w:val="CommentText"/>
        <w:spacing w:line="480" w:lineRule="auto"/>
        <w:ind w:firstLine="720"/>
        <w:rPr>
          <w:rFonts w:ascii="Times New Roman" w:hAnsi="Times New Roman" w:cs="Times New Roman"/>
          <w:sz w:val="24"/>
          <w:szCs w:val="24"/>
        </w:rPr>
      </w:pPr>
      <w:r w:rsidRPr="004B502E">
        <w:rPr>
          <w:rFonts w:ascii="Times New Roman" w:hAnsi="Times New Roman" w:cs="Times New Roman"/>
          <w:sz w:val="24"/>
          <w:szCs w:val="24"/>
        </w:rPr>
        <w:t>In this study we</w:t>
      </w:r>
      <w:r w:rsidR="00234252" w:rsidRPr="004B502E">
        <w:rPr>
          <w:rFonts w:ascii="Times New Roman" w:hAnsi="Times New Roman" w:cs="Times New Roman"/>
          <w:sz w:val="24"/>
          <w:szCs w:val="24"/>
        </w:rPr>
        <w:t xml:space="preserve"> </w:t>
      </w:r>
      <w:r w:rsidRPr="004B502E">
        <w:rPr>
          <w:rFonts w:ascii="Times New Roman" w:hAnsi="Times New Roman" w:cs="Times New Roman"/>
          <w:sz w:val="24"/>
          <w:szCs w:val="24"/>
        </w:rPr>
        <w:t xml:space="preserve">will </w:t>
      </w:r>
      <w:r w:rsidR="00234252" w:rsidRPr="004B502E">
        <w:rPr>
          <w:rFonts w:ascii="Times New Roman" w:hAnsi="Times New Roman" w:cs="Times New Roman"/>
          <w:sz w:val="24"/>
          <w:szCs w:val="24"/>
        </w:rPr>
        <w:t xml:space="preserve">use recent </w:t>
      </w:r>
      <w:r w:rsidR="0090247D" w:rsidRPr="004B502E">
        <w:rPr>
          <w:rFonts w:ascii="Times New Roman" w:hAnsi="Times New Roman" w:cs="Times New Roman"/>
          <w:sz w:val="24"/>
          <w:szCs w:val="24"/>
        </w:rPr>
        <w:t xml:space="preserve">data </w:t>
      </w:r>
      <w:r w:rsidR="00742397" w:rsidRPr="004B502E">
        <w:rPr>
          <w:rFonts w:ascii="Times New Roman" w:hAnsi="Times New Roman" w:cs="Times New Roman"/>
          <w:sz w:val="24"/>
          <w:szCs w:val="24"/>
        </w:rPr>
        <w:t xml:space="preserve">collected from </w:t>
      </w:r>
      <w:r w:rsidR="00D4736F">
        <w:rPr>
          <w:rFonts w:ascii="Times New Roman" w:hAnsi="Times New Roman" w:cs="Times New Roman"/>
          <w:sz w:val="24"/>
          <w:szCs w:val="24"/>
        </w:rPr>
        <w:t>the</w:t>
      </w:r>
      <w:r w:rsidR="00D4736F" w:rsidRPr="004B502E">
        <w:rPr>
          <w:rFonts w:ascii="Times New Roman" w:hAnsi="Times New Roman" w:cs="Times New Roman"/>
          <w:sz w:val="24"/>
          <w:szCs w:val="24"/>
        </w:rPr>
        <w:t xml:space="preserve"> </w:t>
      </w:r>
      <w:r w:rsidR="0090247D" w:rsidRPr="004B502E">
        <w:rPr>
          <w:rFonts w:ascii="Times New Roman" w:hAnsi="Times New Roman" w:cs="Times New Roman"/>
          <w:sz w:val="24"/>
          <w:szCs w:val="24"/>
        </w:rPr>
        <w:t xml:space="preserve">16 </w:t>
      </w:r>
      <w:r w:rsidR="00852351">
        <w:rPr>
          <w:rFonts w:ascii="Times New Roman" w:hAnsi="Times New Roman" w:cs="Times New Roman"/>
          <w:sz w:val="24"/>
          <w:szCs w:val="24"/>
        </w:rPr>
        <w:t>Islamic banks</w:t>
      </w:r>
      <w:r w:rsidR="0090247D" w:rsidRPr="004B502E">
        <w:rPr>
          <w:rFonts w:ascii="Times New Roman" w:hAnsi="Times New Roman" w:cs="Times New Roman"/>
          <w:sz w:val="24"/>
          <w:szCs w:val="24"/>
        </w:rPr>
        <w:t xml:space="preserve"> </w:t>
      </w:r>
      <w:r w:rsidR="0077123F">
        <w:rPr>
          <w:rFonts w:ascii="Times New Roman" w:hAnsi="Times New Roman" w:cs="Times New Roman"/>
          <w:sz w:val="24"/>
          <w:szCs w:val="24"/>
        </w:rPr>
        <w:t xml:space="preserve">currently </w:t>
      </w:r>
      <w:r w:rsidR="0090247D" w:rsidRPr="004B502E">
        <w:rPr>
          <w:rFonts w:ascii="Times New Roman" w:hAnsi="Times New Roman" w:cs="Times New Roman"/>
          <w:sz w:val="24"/>
          <w:szCs w:val="24"/>
        </w:rPr>
        <w:t xml:space="preserve">operating in Malaysia </w:t>
      </w:r>
      <w:r w:rsidR="00AF1050" w:rsidRPr="004B502E">
        <w:rPr>
          <w:rFonts w:ascii="Times New Roman" w:hAnsi="Times New Roman" w:cs="Times New Roman"/>
          <w:sz w:val="24"/>
          <w:szCs w:val="24"/>
        </w:rPr>
        <w:t>for the time</w:t>
      </w:r>
      <w:r w:rsidR="00D4736F">
        <w:rPr>
          <w:rFonts w:ascii="Times New Roman" w:hAnsi="Times New Roman" w:cs="Times New Roman"/>
          <w:sz w:val="24"/>
          <w:szCs w:val="24"/>
        </w:rPr>
        <w:t xml:space="preserve"> </w:t>
      </w:r>
      <w:r w:rsidR="00AF1050" w:rsidRPr="004B502E">
        <w:rPr>
          <w:rFonts w:ascii="Times New Roman" w:hAnsi="Times New Roman" w:cs="Times New Roman"/>
          <w:sz w:val="24"/>
          <w:szCs w:val="24"/>
        </w:rPr>
        <w:t xml:space="preserve">frame </w:t>
      </w:r>
      <w:r w:rsidR="0090247D" w:rsidRPr="004B502E">
        <w:rPr>
          <w:rFonts w:ascii="Times New Roman" w:hAnsi="Times New Roman" w:cs="Times New Roman"/>
          <w:sz w:val="24"/>
          <w:szCs w:val="24"/>
        </w:rPr>
        <w:t xml:space="preserve">of 2005-2011. Considering that </w:t>
      </w:r>
      <w:r w:rsidR="00D4736F">
        <w:rPr>
          <w:rFonts w:ascii="Times New Roman" w:hAnsi="Times New Roman" w:cs="Times New Roman"/>
          <w:sz w:val="24"/>
          <w:szCs w:val="24"/>
        </w:rPr>
        <w:t>14 out of 16</w:t>
      </w:r>
      <w:r w:rsidR="0090247D" w:rsidRPr="004B502E">
        <w:rPr>
          <w:rFonts w:ascii="Times New Roman" w:hAnsi="Times New Roman" w:cs="Times New Roman"/>
          <w:sz w:val="24"/>
          <w:szCs w:val="24"/>
        </w:rPr>
        <w:t xml:space="preserve"> of </w:t>
      </w:r>
      <w:r w:rsidRPr="004B502E">
        <w:rPr>
          <w:rFonts w:ascii="Times New Roman" w:hAnsi="Times New Roman" w:cs="Times New Roman"/>
          <w:sz w:val="24"/>
          <w:szCs w:val="24"/>
        </w:rPr>
        <w:t xml:space="preserve">those </w:t>
      </w:r>
      <w:r w:rsidR="0090247D" w:rsidRPr="004B502E">
        <w:rPr>
          <w:rFonts w:ascii="Times New Roman" w:hAnsi="Times New Roman" w:cs="Times New Roman"/>
          <w:sz w:val="24"/>
          <w:szCs w:val="24"/>
        </w:rPr>
        <w:t xml:space="preserve">banks </w:t>
      </w:r>
      <w:r w:rsidR="00D4736F" w:rsidRPr="004B502E">
        <w:rPr>
          <w:rFonts w:ascii="Times New Roman" w:hAnsi="Times New Roman" w:cs="Times New Roman"/>
          <w:sz w:val="24"/>
          <w:szCs w:val="24"/>
        </w:rPr>
        <w:t>(</w:t>
      </w:r>
      <w:r w:rsidR="0077123F">
        <w:rPr>
          <w:rFonts w:ascii="Times New Roman" w:hAnsi="Times New Roman" w:cs="Times New Roman"/>
          <w:sz w:val="24"/>
          <w:szCs w:val="24"/>
        </w:rPr>
        <w:t xml:space="preserve">except </w:t>
      </w:r>
      <w:r w:rsidR="0090247D" w:rsidRPr="004B502E">
        <w:rPr>
          <w:rFonts w:ascii="Times New Roman" w:hAnsi="Times New Roman" w:cs="Times New Roman"/>
          <w:sz w:val="24"/>
          <w:szCs w:val="24"/>
        </w:rPr>
        <w:t xml:space="preserve">Bank Islam Malaysia Berhad and Bank Muamalat Malaysia Berhad) have </w:t>
      </w:r>
      <w:r w:rsidR="003B7586" w:rsidRPr="004B502E">
        <w:rPr>
          <w:rFonts w:ascii="Times New Roman" w:hAnsi="Times New Roman" w:cs="Times New Roman"/>
          <w:sz w:val="24"/>
          <w:szCs w:val="24"/>
        </w:rPr>
        <w:t xml:space="preserve">been operating </w:t>
      </w:r>
      <w:r w:rsidR="0090247D" w:rsidRPr="004B502E">
        <w:rPr>
          <w:rFonts w:ascii="Times New Roman" w:hAnsi="Times New Roman" w:cs="Times New Roman"/>
          <w:sz w:val="24"/>
          <w:szCs w:val="24"/>
        </w:rPr>
        <w:t>within this time</w:t>
      </w:r>
      <w:r w:rsidR="00D4736F">
        <w:rPr>
          <w:rFonts w:ascii="Times New Roman" w:hAnsi="Times New Roman" w:cs="Times New Roman"/>
          <w:sz w:val="24"/>
          <w:szCs w:val="24"/>
        </w:rPr>
        <w:t xml:space="preserve"> </w:t>
      </w:r>
      <w:r w:rsidR="0090247D" w:rsidRPr="004B502E">
        <w:rPr>
          <w:rFonts w:ascii="Times New Roman" w:hAnsi="Times New Roman" w:cs="Times New Roman"/>
          <w:sz w:val="24"/>
          <w:szCs w:val="24"/>
        </w:rPr>
        <w:t xml:space="preserve">frame, this data could be regarded as </w:t>
      </w:r>
      <w:r w:rsidR="00960E26" w:rsidRPr="004B502E">
        <w:rPr>
          <w:rFonts w:ascii="Times New Roman" w:hAnsi="Times New Roman" w:cs="Times New Roman"/>
          <w:sz w:val="24"/>
          <w:szCs w:val="24"/>
        </w:rPr>
        <w:t>very comprehensive</w:t>
      </w:r>
      <w:r w:rsidR="0090247D" w:rsidRPr="004B502E">
        <w:rPr>
          <w:rFonts w:ascii="Times New Roman" w:hAnsi="Times New Roman" w:cs="Times New Roman"/>
          <w:sz w:val="24"/>
          <w:szCs w:val="24"/>
        </w:rPr>
        <w:t xml:space="preserve">.  </w:t>
      </w:r>
    </w:p>
    <w:p w:rsidR="00BB598F" w:rsidRPr="004B502E" w:rsidRDefault="00E624FC" w:rsidP="004005C9">
      <w:pPr>
        <w:pStyle w:val="CommentText"/>
        <w:spacing w:line="480" w:lineRule="auto"/>
        <w:ind w:firstLine="720"/>
        <w:rPr>
          <w:rFonts w:ascii="Times New Roman" w:hAnsi="Times New Roman" w:cs="Times New Roman"/>
          <w:sz w:val="24"/>
          <w:szCs w:val="24"/>
        </w:rPr>
      </w:pPr>
      <w:r w:rsidRPr="004B502E">
        <w:rPr>
          <w:rFonts w:ascii="Times New Roman" w:hAnsi="Times New Roman" w:cs="Times New Roman"/>
          <w:sz w:val="24"/>
          <w:szCs w:val="24"/>
        </w:rPr>
        <w:t>V</w:t>
      </w:r>
      <w:r w:rsidR="00BB598F" w:rsidRPr="004B502E">
        <w:rPr>
          <w:rFonts w:ascii="Times New Roman" w:hAnsi="Times New Roman" w:cs="Times New Roman"/>
          <w:sz w:val="24"/>
          <w:szCs w:val="24"/>
        </w:rPr>
        <w:t xml:space="preserve">ariables </w:t>
      </w:r>
      <w:r w:rsidR="00FC4A2C">
        <w:rPr>
          <w:rFonts w:ascii="Times New Roman" w:hAnsi="Times New Roman" w:cs="Times New Roman"/>
          <w:sz w:val="24"/>
          <w:szCs w:val="24"/>
        </w:rPr>
        <w:t>that</w:t>
      </w:r>
      <w:r w:rsidRPr="004B502E">
        <w:rPr>
          <w:rFonts w:ascii="Times New Roman" w:hAnsi="Times New Roman" w:cs="Times New Roman"/>
          <w:sz w:val="24"/>
          <w:szCs w:val="24"/>
        </w:rPr>
        <w:t xml:space="preserve"> </w:t>
      </w:r>
      <w:r w:rsidR="00BB598F" w:rsidRPr="004B502E">
        <w:rPr>
          <w:rFonts w:ascii="Times New Roman" w:hAnsi="Times New Roman" w:cs="Times New Roman"/>
          <w:sz w:val="24"/>
          <w:szCs w:val="24"/>
        </w:rPr>
        <w:t>w</w:t>
      </w:r>
      <w:r w:rsidRPr="004B502E">
        <w:rPr>
          <w:rFonts w:ascii="Times New Roman" w:hAnsi="Times New Roman" w:cs="Times New Roman"/>
          <w:sz w:val="24"/>
          <w:szCs w:val="24"/>
        </w:rPr>
        <w:t xml:space="preserve">ill be </w:t>
      </w:r>
      <w:r w:rsidR="00D4736F">
        <w:rPr>
          <w:rFonts w:ascii="Times New Roman" w:hAnsi="Times New Roman" w:cs="Times New Roman"/>
          <w:sz w:val="24"/>
          <w:szCs w:val="24"/>
        </w:rPr>
        <w:t>analyzed</w:t>
      </w:r>
      <w:r w:rsidR="00E75B78">
        <w:rPr>
          <w:rFonts w:ascii="Times New Roman" w:hAnsi="Times New Roman" w:cs="Times New Roman"/>
          <w:sz w:val="24"/>
          <w:szCs w:val="24"/>
        </w:rPr>
        <w:t xml:space="preserve"> are: internal factors (capital ratio, liquidity ratio, efficiency ratio,</w:t>
      </w:r>
      <w:r w:rsidR="00FC4A2C">
        <w:rPr>
          <w:rFonts w:ascii="Times New Roman" w:hAnsi="Times New Roman" w:cs="Times New Roman"/>
          <w:sz w:val="24"/>
          <w:szCs w:val="24"/>
        </w:rPr>
        <w:t xml:space="preserve"> bank ownership, </w:t>
      </w:r>
      <w:r w:rsidR="00495A86">
        <w:rPr>
          <w:rFonts w:ascii="Times New Roman" w:hAnsi="Times New Roman" w:cs="Times New Roman"/>
          <w:sz w:val="24"/>
          <w:szCs w:val="24"/>
        </w:rPr>
        <w:t xml:space="preserve">and </w:t>
      </w:r>
      <w:r w:rsidR="00FC4A2C">
        <w:rPr>
          <w:rFonts w:ascii="Times New Roman" w:hAnsi="Times New Roman" w:cs="Times New Roman"/>
          <w:sz w:val="24"/>
          <w:szCs w:val="24"/>
        </w:rPr>
        <w:t xml:space="preserve">bank size), external factors (GDP, inflation rate, money supply, </w:t>
      </w:r>
      <w:r w:rsidR="00C60F43">
        <w:rPr>
          <w:rFonts w:ascii="Times New Roman" w:hAnsi="Times New Roman" w:cs="Times New Roman"/>
          <w:sz w:val="24"/>
          <w:szCs w:val="24"/>
        </w:rPr>
        <w:t>and taxation indicator), moderator variables (bank maturity and financial crisis variable)</w:t>
      </w:r>
      <w:r w:rsidR="00FC4A2C">
        <w:rPr>
          <w:rFonts w:ascii="Times New Roman" w:hAnsi="Times New Roman" w:cs="Times New Roman"/>
          <w:sz w:val="24"/>
          <w:szCs w:val="24"/>
        </w:rPr>
        <w:t xml:space="preserve"> </w:t>
      </w:r>
      <w:r w:rsidR="00C60F43">
        <w:rPr>
          <w:rFonts w:ascii="Times New Roman" w:hAnsi="Times New Roman" w:cs="Times New Roman"/>
          <w:sz w:val="24"/>
          <w:szCs w:val="24"/>
        </w:rPr>
        <w:t xml:space="preserve">and </w:t>
      </w:r>
      <w:r w:rsidR="00825481">
        <w:rPr>
          <w:rFonts w:ascii="Times New Roman" w:hAnsi="Times New Roman" w:cs="Times New Roman"/>
          <w:sz w:val="24"/>
          <w:szCs w:val="24"/>
        </w:rPr>
        <w:t xml:space="preserve">the </w:t>
      </w:r>
      <w:r w:rsidR="00FC4A2C">
        <w:rPr>
          <w:rFonts w:ascii="Times New Roman" w:hAnsi="Times New Roman" w:cs="Times New Roman"/>
          <w:sz w:val="24"/>
          <w:szCs w:val="24"/>
        </w:rPr>
        <w:t>profitability ratio (return on assets ratio).</w:t>
      </w:r>
      <w:r w:rsidR="0096579F">
        <w:rPr>
          <w:rFonts w:ascii="Times New Roman" w:hAnsi="Times New Roman" w:cs="Times New Roman"/>
          <w:sz w:val="24"/>
          <w:szCs w:val="24"/>
        </w:rPr>
        <w:t xml:space="preserve"> </w:t>
      </w:r>
      <w:r w:rsidR="00FC1D95">
        <w:rPr>
          <w:rFonts w:ascii="Times New Roman" w:hAnsi="Times New Roman" w:cs="Times New Roman"/>
          <w:sz w:val="24"/>
          <w:szCs w:val="24"/>
        </w:rPr>
        <w:t>Th</w:t>
      </w:r>
      <w:r w:rsidR="00701E35">
        <w:rPr>
          <w:rFonts w:ascii="Times New Roman" w:hAnsi="Times New Roman" w:cs="Times New Roman"/>
          <w:sz w:val="24"/>
          <w:szCs w:val="24"/>
        </w:rPr>
        <w:t>o</w:t>
      </w:r>
      <w:r w:rsidR="00FC1D95">
        <w:rPr>
          <w:rFonts w:ascii="Times New Roman" w:hAnsi="Times New Roman" w:cs="Times New Roman"/>
          <w:sz w:val="24"/>
          <w:szCs w:val="24"/>
        </w:rPr>
        <w:t xml:space="preserve">se </w:t>
      </w:r>
      <w:r w:rsidR="00701E35">
        <w:rPr>
          <w:rFonts w:ascii="Times New Roman" w:hAnsi="Times New Roman" w:cs="Times New Roman"/>
          <w:sz w:val="24"/>
          <w:szCs w:val="24"/>
        </w:rPr>
        <w:t>factors</w:t>
      </w:r>
      <w:r w:rsidR="00FC1D95">
        <w:rPr>
          <w:rFonts w:ascii="Times New Roman" w:hAnsi="Times New Roman" w:cs="Times New Roman"/>
          <w:sz w:val="24"/>
          <w:szCs w:val="24"/>
        </w:rPr>
        <w:t xml:space="preserve"> have been widely </w:t>
      </w:r>
      <w:r w:rsidR="00701E35">
        <w:rPr>
          <w:rFonts w:ascii="Times New Roman" w:hAnsi="Times New Roman" w:cs="Times New Roman"/>
          <w:sz w:val="24"/>
          <w:szCs w:val="24"/>
        </w:rPr>
        <w:t xml:space="preserve">used </w:t>
      </w:r>
      <w:r w:rsidR="00FC1D95">
        <w:rPr>
          <w:rFonts w:ascii="Times New Roman" w:hAnsi="Times New Roman" w:cs="Times New Roman"/>
          <w:sz w:val="24"/>
          <w:szCs w:val="24"/>
        </w:rPr>
        <w:t xml:space="preserve">in profitability studies conducted on conventional banks. </w:t>
      </w:r>
      <w:r w:rsidR="00701E35">
        <w:rPr>
          <w:rFonts w:ascii="Times New Roman" w:hAnsi="Times New Roman" w:cs="Times New Roman"/>
          <w:sz w:val="24"/>
          <w:szCs w:val="24"/>
        </w:rPr>
        <w:t>Simultaneously, those factors are applicable to the Islamic banks c</w:t>
      </w:r>
      <w:r w:rsidR="00FC1D95">
        <w:rPr>
          <w:rFonts w:ascii="Times New Roman" w:hAnsi="Times New Roman" w:cs="Times New Roman"/>
          <w:sz w:val="24"/>
          <w:szCs w:val="24"/>
        </w:rPr>
        <w:t>onsidering the similarity between the accounting practices of conventional and Islamic bank</w:t>
      </w:r>
      <w:r w:rsidR="00701E35">
        <w:rPr>
          <w:rFonts w:ascii="Times New Roman" w:hAnsi="Times New Roman" w:cs="Times New Roman"/>
          <w:sz w:val="24"/>
          <w:szCs w:val="24"/>
        </w:rPr>
        <w:t xml:space="preserve">s. </w:t>
      </w:r>
      <w:r w:rsidR="000A7A35" w:rsidRPr="004B502E">
        <w:rPr>
          <w:rFonts w:ascii="Times New Roman" w:hAnsi="Times New Roman" w:cs="Times New Roman"/>
          <w:sz w:val="24"/>
          <w:szCs w:val="24"/>
        </w:rPr>
        <w:t>Further information about those ratio</w:t>
      </w:r>
      <w:r w:rsidR="00FC4A2C">
        <w:rPr>
          <w:rFonts w:ascii="Times New Roman" w:hAnsi="Times New Roman" w:cs="Times New Roman"/>
          <w:sz w:val="24"/>
          <w:szCs w:val="24"/>
        </w:rPr>
        <w:t xml:space="preserve">s will be provided in the methodology section </w:t>
      </w:r>
      <w:r w:rsidR="000A7A35" w:rsidRPr="004B502E">
        <w:rPr>
          <w:rFonts w:ascii="Times New Roman" w:hAnsi="Times New Roman" w:cs="Times New Roman"/>
          <w:sz w:val="24"/>
          <w:szCs w:val="24"/>
        </w:rPr>
        <w:t xml:space="preserve">of the paper. </w:t>
      </w:r>
    </w:p>
    <w:p w:rsidR="00B33685" w:rsidRPr="004B502E" w:rsidRDefault="00B33685" w:rsidP="00B33685">
      <w:pPr>
        <w:spacing w:line="480" w:lineRule="auto"/>
        <w:ind w:firstLine="720"/>
        <w:rPr>
          <w:rFonts w:ascii="Times New Roman" w:hAnsi="Times New Roman" w:cs="Times New Roman"/>
          <w:sz w:val="24"/>
          <w:szCs w:val="24"/>
        </w:rPr>
      </w:pPr>
      <w:r w:rsidRPr="004B502E">
        <w:rPr>
          <w:rFonts w:ascii="Times New Roman" w:hAnsi="Times New Roman" w:cs="Times New Roman"/>
          <w:sz w:val="24"/>
          <w:szCs w:val="24"/>
        </w:rPr>
        <w:t>Th</w:t>
      </w:r>
      <w:r w:rsidR="006966A7" w:rsidRPr="004B502E">
        <w:rPr>
          <w:rFonts w:ascii="Times New Roman" w:hAnsi="Times New Roman" w:cs="Times New Roman"/>
          <w:sz w:val="24"/>
          <w:szCs w:val="24"/>
        </w:rPr>
        <w:t>e rese</w:t>
      </w:r>
      <w:r w:rsidR="00C03865">
        <w:rPr>
          <w:rFonts w:ascii="Times New Roman" w:hAnsi="Times New Roman" w:cs="Times New Roman"/>
          <w:sz w:val="24"/>
          <w:szCs w:val="24"/>
        </w:rPr>
        <w:t>arch questions</w:t>
      </w:r>
      <w:r w:rsidR="001408AC">
        <w:rPr>
          <w:rFonts w:ascii="Times New Roman" w:hAnsi="Times New Roman" w:cs="Times New Roman"/>
          <w:sz w:val="24"/>
          <w:szCs w:val="24"/>
        </w:rPr>
        <w:t xml:space="preserve"> that </w:t>
      </w:r>
      <w:r w:rsidR="00C03865">
        <w:rPr>
          <w:rFonts w:ascii="Times New Roman" w:hAnsi="Times New Roman" w:cs="Times New Roman"/>
          <w:sz w:val="24"/>
          <w:szCs w:val="24"/>
        </w:rPr>
        <w:t>will</w:t>
      </w:r>
      <w:r w:rsidR="006966A7" w:rsidRPr="004B502E">
        <w:rPr>
          <w:rFonts w:ascii="Times New Roman" w:hAnsi="Times New Roman" w:cs="Times New Roman"/>
          <w:sz w:val="24"/>
          <w:szCs w:val="24"/>
        </w:rPr>
        <w:t xml:space="preserve"> </w:t>
      </w:r>
      <w:r w:rsidRPr="004B502E">
        <w:rPr>
          <w:rFonts w:ascii="Times New Roman" w:hAnsi="Times New Roman" w:cs="Times New Roman"/>
          <w:sz w:val="24"/>
          <w:szCs w:val="24"/>
        </w:rPr>
        <w:t xml:space="preserve">be addressed in the analysis are: </w:t>
      </w:r>
    </w:p>
    <w:p w:rsidR="00B33685" w:rsidRPr="004B502E" w:rsidRDefault="00464CD9" w:rsidP="00B33685">
      <w:pPr>
        <w:spacing w:line="480" w:lineRule="auto"/>
        <w:ind w:firstLine="720"/>
        <w:rPr>
          <w:rFonts w:ascii="Times New Roman" w:hAnsi="Times New Roman" w:cs="Times New Roman"/>
          <w:sz w:val="24"/>
          <w:szCs w:val="24"/>
        </w:rPr>
      </w:pPr>
      <w:r>
        <w:rPr>
          <w:rFonts w:ascii="Times New Roman" w:hAnsi="Times New Roman" w:cs="Times New Roman"/>
          <w:sz w:val="24"/>
          <w:szCs w:val="24"/>
        </w:rPr>
        <w:t>Q.1:</w:t>
      </w:r>
      <w:r w:rsidR="00B33685" w:rsidRPr="004B502E">
        <w:rPr>
          <w:rFonts w:ascii="Times New Roman" w:hAnsi="Times New Roman" w:cs="Times New Roman"/>
          <w:sz w:val="24"/>
          <w:szCs w:val="24"/>
        </w:rPr>
        <w:t xml:space="preserve"> What is the impact of the internal </w:t>
      </w:r>
      <w:r>
        <w:rPr>
          <w:rFonts w:ascii="Times New Roman" w:hAnsi="Times New Roman" w:cs="Times New Roman"/>
          <w:sz w:val="24"/>
          <w:szCs w:val="24"/>
        </w:rPr>
        <w:t xml:space="preserve">and external </w:t>
      </w:r>
      <w:r w:rsidR="00B33685" w:rsidRPr="004B502E">
        <w:rPr>
          <w:rFonts w:ascii="Times New Roman" w:hAnsi="Times New Roman" w:cs="Times New Roman"/>
          <w:sz w:val="24"/>
          <w:szCs w:val="24"/>
        </w:rPr>
        <w:t xml:space="preserve">factors on the performance of Malaysian Islamic </w:t>
      </w:r>
      <w:r w:rsidR="00BE5E7A">
        <w:rPr>
          <w:rFonts w:ascii="Times New Roman" w:hAnsi="Times New Roman" w:cs="Times New Roman"/>
          <w:sz w:val="24"/>
          <w:szCs w:val="24"/>
        </w:rPr>
        <w:t>b</w:t>
      </w:r>
      <w:r w:rsidR="00B33685" w:rsidRPr="004B502E">
        <w:rPr>
          <w:rFonts w:ascii="Times New Roman" w:hAnsi="Times New Roman" w:cs="Times New Roman"/>
          <w:sz w:val="24"/>
          <w:szCs w:val="24"/>
        </w:rPr>
        <w:t xml:space="preserve">anks? </w:t>
      </w:r>
    </w:p>
    <w:p w:rsidR="00B33685" w:rsidRPr="004B502E" w:rsidRDefault="00B33685" w:rsidP="00B33685">
      <w:pPr>
        <w:spacing w:line="480" w:lineRule="auto"/>
        <w:ind w:firstLine="720"/>
        <w:rPr>
          <w:rFonts w:ascii="Times New Roman" w:hAnsi="Times New Roman" w:cs="Times New Roman"/>
          <w:sz w:val="24"/>
          <w:szCs w:val="24"/>
        </w:rPr>
      </w:pPr>
      <w:r w:rsidRPr="004B502E">
        <w:rPr>
          <w:rFonts w:ascii="Times New Roman" w:hAnsi="Times New Roman" w:cs="Times New Roman"/>
          <w:sz w:val="24"/>
          <w:szCs w:val="24"/>
        </w:rPr>
        <w:t>Q</w:t>
      </w:r>
      <w:r w:rsidR="00464CD9">
        <w:rPr>
          <w:rFonts w:ascii="Times New Roman" w:hAnsi="Times New Roman" w:cs="Times New Roman"/>
          <w:sz w:val="24"/>
          <w:szCs w:val="24"/>
        </w:rPr>
        <w:t>.2</w:t>
      </w:r>
      <w:r w:rsidRPr="004B502E">
        <w:rPr>
          <w:rFonts w:ascii="Times New Roman" w:hAnsi="Times New Roman" w:cs="Times New Roman"/>
          <w:sz w:val="24"/>
          <w:szCs w:val="24"/>
        </w:rPr>
        <w:t>: Does the effect</w:t>
      </w:r>
      <w:r w:rsidR="001408AC">
        <w:rPr>
          <w:rFonts w:ascii="Times New Roman" w:hAnsi="Times New Roman" w:cs="Times New Roman"/>
          <w:sz w:val="24"/>
          <w:szCs w:val="24"/>
        </w:rPr>
        <w:t xml:space="preserve"> of internal and external factors</w:t>
      </w:r>
      <w:r w:rsidRPr="004B502E">
        <w:rPr>
          <w:rFonts w:ascii="Times New Roman" w:hAnsi="Times New Roman" w:cs="Times New Roman"/>
          <w:sz w:val="24"/>
          <w:szCs w:val="24"/>
        </w:rPr>
        <w:t xml:space="preserve"> on the performance of Malaysian </w:t>
      </w:r>
      <w:r w:rsidR="00852351">
        <w:rPr>
          <w:rFonts w:ascii="Times New Roman" w:hAnsi="Times New Roman" w:cs="Times New Roman"/>
          <w:sz w:val="24"/>
          <w:szCs w:val="24"/>
        </w:rPr>
        <w:t>Islamic banks</w:t>
      </w:r>
      <w:r w:rsidRPr="004B502E">
        <w:rPr>
          <w:rFonts w:ascii="Times New Roman" w:hAnsi="Times New Roman" w:cs="Times New Roman"/>
          <w:sz w:val="24"/>
          <w:szCs w:val="24"/>
        </w:rPr>
        <w:t xml:space="preserve"> change based on bank maturity</w:t>
      </w:r>
      <w:r w:rsidR="001779A9">
        <w:rPr>
          <w:rFonts w:ascii="Times New Roman" w:hAnsi="Times New Roman" w:cs="Times New Roman"/>
          <w:sz w:val="24"/>
          <w:szCs w:val="24"/>
        </w:rPr>
        <w:t xml:space="preserve"> </w:t>
      </w:r>
      <w:r w:rsidR="00DC0077">
        <w:rPr>
          <w:rFonts w:ascii="Times New Roman" w:hAnsi="Times New Roman" w:cs="Times New Roman"/>
          <w:sz w:val="24"/>
          <w:szCs w:val="24"/>
        </w:rPr>
        <w:t>and the financial</w:t>
      </w:r>
      <w:r w:rsidRPr="004B502E">
        <w:rPr>
          <w:rFonts w:ascii="Times New Roman" w:hAnsi="Times New Roman" w:cs="Times New Roman"/>
          <w:sz w:val="24"/>
          <w:szCs w:val="24"/>
        </w:rPr>
        <w:t xml:space="preserve"> crisis variables?</w:t>
      </w:r>
    </w:p>
    <w:p w:rsidR="001408AC" w:rsidRDefault="00933D82" w:rsidP="0047701A">
      <w:pPr>
        <w:spacing w:line="480" w:lineRule="auto"/>
        <w:ind w:firstLine="720"/>
        <w:rPr>
          <w:rFonts w:ascii="Times New Roman" w:hAnsi="Times New Roman" w:cs="Times New Roman"/>
          <w:sz w:val="24"/>
          <w:szCs w:val="24"/>
        </w:rPr>
      </w:pPr>
      <w:r w:rsidRPr="004B502E">
        <w:rPr>
          <w:rFonts w:ascii="Times New Roman" w:hAnsi="Times New Roman" w:cs="Times New Roman"/>
          <w:sz w:val="24"/>
          <w:szCs w:val="24"/>
        </w:rPr>
        <w:t xml:space="preserve">The stepwise regression analysis and the moderated multiple regression (MMR) analysis will be </w:t>
      </w:r>
      <w:r w:rsidR="00BE5E7A">
        <w:rPr>
          <w:rFonts w:ascii="Times New Roman" w:hAnsi="Times New Roman" w:cs="Times New Roman"/>
          <w:sz w:val="24"/>
          <w:szCs w:val="24"/>
        </w:rPr>
        <w:t>us</w:t>
      </w:r>
      <w:r w:rsidR="00BE5E7A" w:rsidRPr="004B502E">
        <w:rPr>
          <w:rFonts w:ascii="Times New Roman" w:hAnsi="Times New Roman" w:cs="Times New Roman"/>
          <w:sz w:val="24"/>
          <w:szCs w:val="24"/>
        </w:rPr>
        <w:t xml:space="preserve">ed </w:t>
      </w:r>
      <w:r w:rsidR="00BE5E7A">
        <w:rPr>
          <w:rFonts w:ascii="Times New Roman" w:hAnsi="Times New Roman" w:cs="Times New Roman"/>
          <w:sz w:val="24"/>
          <w:szCs w:val="24"/>
        </w:rPr>
        <w:t>to</w:t>
      </w:r>
      <w:r w:rsidR="00BE5E7A" w:rsidRPr="004B502E">
        <w:rPr>
          <w:rFonts w:ascii="Times New Roman" w:hAnsi="Times New Roman" w:cs="Times New Roman"/>
          <w:sz w:val="24"/>
          <w:szCs w:val="24"/>
        </w:rPr>
        <w:t xml:space="preserve"> </w:t>
      </w:r>
      <w:r>
        <w:rPr>
          <w:rFonts w:ascii="Times New Roman" w:hAnsi="Times New Roman" w:cs="Times New Roman"/>
          <w:sz w:val="24"/>
          <w:szCs w:val="24"/>
        </w:rPr>
        <w:t xml:space="preserve">address the research questions stated above. </w:t>
      </w:r>
      <w:r w:rsidR="00F81C9D">
        <w:rPr>
          <w:rFonts w:ascii="Times New Roman" w:hAnsi="Times New Roman" w:cs="Times New Roman"/>
          <w:sz w:val="24"/>
          <w:szCs w:val="24"/>
        </w:rPr>
        <w:t xml:space="preserve">Initially, the stepwise regression analysis will be </w:t>
      </w:r>
      <w:r w:rsidR="00BE5E7A">
        <w:rPr>
          <w:rFonts w:ascii="Times New Roman" w:hAnsi="Times New Roman" w:cs="Times New Roman"/>
          <w:sz w:val="24"/>
          <w:szCs w:val="24"/>
        </w:rPr>
        <w:t>used to determine</w:t>
      </w:r>
      <w:r w:rsidR="00F81C9D">
        <w:rPr>
          <w:rFonts w:ascii="Times New Roman" w:hAnsi="Times New Roman" w:cs="Times New Roman"/>
          <w:sz w:val="24"/>
          <w:szCs w:val="24"/>
        </w:rPr>
        <w:t xml:space="preserve"> the set of factors </w:t>
      </w:r>
      <w:r w:rsidR="00BE5E7A">
        <w:rPr>
          <w:rFonts w:ascii="Times New Roman" w:hAnsi="Times New Roman" w:cs="Times New Roman"/>
          <w:sz w:val="24"/>
          <w:szCs w:val="24"/>
        </w:rPr>
        <w:t xml:space="preserve">that </w:t>
      </w:r>
      <w:r w:rsidR="00F81C9D">
        <w:rPr>
          <w:rFonts w:ascii="Times New Roman" w:hAnsi="Times New Roman" w:cs="Times New Roman"/>
          <w:sz w:val="24"/>
          <w:szCs w:val="24"/>
        </w:rPr>
        <w:t>account for most</w:t>
      </w:r>
      <w:r w:rsidR="0096579F">
        <w:rPr>
          <w:rFonts w:ascii="Times New Roman" w:hAnsi="Times New Roman" w:cs="Times New Roman"/>
          <w:sz w:val="24"/>
          <w:szCs w:val="24"/>
        </w:rPr>
        <w:t xml:space="preserve"> of the</w:t>
      </w:r>
      <w:r w:rsidR="00F81C9D">
        <w:rPr>
          <w:rFonts w:ascii="Times New Roman" w:hAnsi="Times New Roman" w:cs="Times New Roman"/>
          <w:sz w:val="24"/>
          <w:szCs w:val="24"/>
        </w:rPr>
        <w:t xml:space="preserve"> variance in the performance of </w:t>
      </w:r>
      <w:r w:rsidR="00852351">
        <w:rPr>
          <w:rFonts w:ascii="Times New Roman" w:hAnsi="Times New Roman" w:cs="Times New Roman"/>
          <w:sz w:val="24"/>
          <w:szCs w:val="24"/>
        </w:rPr>
        <w:t>Islamic banks</w:t>
      </w:r>
      <w:r w:rsidR="00F81C9D">
        <w:rPr>
          <w:rFonts w:ascii="Times New Roman" w:hAnsi="Times New Roman" w:cs="Times New Roman"/>
          <w:sz w:val="24"/>
          <w:szCs w:val="24"/>
        </w:rPr>
        <w:t xml:space="preserve">. </w:t>
      </w:r>
      <w:r w:rsidR="0096579F">
        <w:rPr>
          <w:rFonts w:ascii="Times New Roman" w:hAnsi="Times New Roman" w:cs="Times New Roman"/>
          <w:sz w:val="24"/>
          <w:szCs w:val="24"/>
        </w:rPr>
        <w:t xml:space="preserve">Later, the MMR analysis will be performed for analyzing changes in the effect of factors observed during the previous analysis </w:t>
      </w:r>
      <w:r w:rsidR="00F45270">
        <w:rPr>
          <w:rFonts w:ascii="Times New Roman" w:hAnsi="Times New Roman" w:cs="Times New Roman"/>
          <w:sz w:val="24"/>
          <w:szCs w:val="24"/>
        </w:rPr>
        <w:t xml:space="preserve">by considering the </w:t>
      </w:r>
      <w:r w:rsidR="0096579F">
        <w:rPr>
          <w:rFonts w:ascii="Times New Roman" w:hAnsi="Times New Roman" w:cs="Times New Roman"/>
          <w:sz w:val="24"/>
          <w:szCs w:val="24"/>
        </w:rPr>
        <w:t xml:space="preserve">maturity of </w:t>
      </w:r>
      <w:r w:rsidR="00852351">
        <w:rPr>
          <w:rFonts w:ascii="Times New Roman" w:hAnsi="Times New Roman" w:cs="Times New Roman"/>
          <w:sz w:val="24"/>
          <w:szCs w:val="24"/>
        </w:rPr>
        <w:t>Islamic banks</w:t>
      </w:r>
      <w:r w:rsidR="0096579F">
        <w:rPr>
          <w:rFonts w:ascii="Times New Roman" w:hAnsi="Times New Roman" w:cs="Times New Roman"/>
          <w:sz w:val="24"/>
          <w:szCs w:val="24"/>
        </w:rPr>
        <w:t xml:space="preserve"> and the economic recession of 2008. </w:t>
      </w:r>
      <w:r w:rsidR="00B826C4">
        <w:rPr>
          <w:rFonts w:ascii="Times New Roman" w:hAnsi="Times New Roman" w:cs="Times New Roman"/>
          <w:sz w:val="24"/>
          <w:szCs w:val="24"/>
        </w:rPr>
        <w:t xml:space="preserve">Visually, the theoretical model is presented in Figure 1: </w:t>
      </w:r>
    </w:p>
    <w:p w:rsidR="00B826C4" w:rsidRDefault="007F7C4D" w:rsidP="0047701A">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-46990</wp:posOffset>
                </wp:positionV>
                <wp:extent cx="5486400" cy="4067175"/>
                <wp:effectExtent l="9525" t="10160" r="9525" b="8890"/>
                <wp:wrapNone/>
                <wp:docPr id="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4067175"/>
                          <a:chOff x="1515" y="2922"/>
                          <a:chExt cx="8640" cy="6405"/>
                        </a:xfrm>
                      </wpg:grpSpPr>
                      <wps:wsp>
                        <wps:cNvPr id="2" name="Rectangle 66"/>
                        <wps:cNvSpPr>
                          <a:spLocks noChangeArrowheads="1"/>
                        </wps:cNvSpPr>
                        <wps:spPr bwMode="auto">
                          <a:xfrm>
                            <a:off x="1515" y="2922"/>
                            <a:ext cx="8640" cy="6405"/>
                          </a:xfrm>
                          <a:prstGeom prst="rect">
                            <a:avLst/>
                          </a:prstGeom>
                          <a:solidFill>
                            <a:srgbClr val="FFFFFF"/>
                          </a:solidFill>
                          <a:ln w="9525">
                            <a:solidFill>
                              <a:srgbClr val="000000"/>
                            </a:solidFill>
                            <a:miter lim="800000"/>
                            <a:headEnd/>
                            <a:tailEnd/>
                          </a:ln>
                        </wps:spPr>
                        <wps:txbx>
                          <w:txbxContent>
                            <w:p w:rsidR="00A720C0" w:rsidRPr="004B502E" w:rsidRDefault="00A720C0" w:rsidP="00B826C4">
                              <w:pPr>
                                <w:rPr>
                                  <w:rFonts w:ascii="Times New Roman" w:hAnsi="Times New Roman" w:cs="Times New Roman"/>
                                </w:rPr>
                              </w:pPr>
                              <w:r w:rsidRPr="004B502E">
                                <w:rPr>
                                  <w:rFonts w:ascii="Times New Roman" w:hAnsi="Times New Roman" w:cs="Times New Roman"/>
                                  <w:b/>
                                </w:rPr>
                                <w:t xml:space="preserve">  </w:t>
                              </w:r>
                            </w:p>
                            <w:p w:rsidR="00A720C0" w:rsidRPr="004B502E" w:rsidRDefault="00A720C0" w:rsidP="00B826C4">
                              <w:pPr>
                                <w:rPr>
                                  <w:rFonts w:ascii="Times New Roman" w:hAnsi="Times New Roman" w:cs="Times New Roman"/>
                                </w:rPr>
                              </w:pPr>
                            </w:p>
                            <w:p w:rsidR="00A720C0" w:rsidRPr="004B502E" w:rsidRDefault="00A720C0" w:rsidP="00B826C4">
                              <w:pPr>
                                <w:rPr>
                                  <w:rFonts w:ascii="Times New Roman" w:hAnsi="Times New Roman" w:cs="Times New Roman"/>
                                </w:rPr>
                              </w:pPr>
                            </w:p>
                            <w:p w:rsidR="00A720C0" w:rsidRPr="004B502E" w:rsidRDefault="00A720C0" w:rsidP="00B826C4">
                              <w:pPr>
                                <w:rPr>
                                  <w:rFonts w:ascii="Times New Roman" w:hAnsi="Times New Roman" w:cs="Times New Roman"/>
                                </w:rPr>
                              </w:pPr>
                            </w:p>
                            <w:p w:rsidR="00A720C0" w:rsidRPr="004B502E" w:rsidRDefault="00A720C0" w:rsidP="00B826C4">
                              <w:pPr>
                                <w:rPr>
                                  <w:rFonts w:ascii="Times New Roman" w:hAnsi="Times New Roman" w:cs="Times New Roman"/>
                                </w:rPr>
                              </w:pPr>
                            </w:p>
                            <w:p w:rsidR="00A720C0" w:rsidRPr="004B502E" w:rsidRDefault="00A720C0" w:rsidP="00B826C4">
                              <w:pPr>
                                <w:rPr>
                                  <w:rFonts w:ascii="Times New Roman" w:hAnsi="Times New Roman" w:cs="Times New Roman"/>
                                </w:rPr>
                              </w:pPr>
                            </w:p>
                            <w:p w:rsidR="00A720C0" w:rsidRPr="004B502E" w:rsidRDefault="00A720C0" w:rsidP="00B826C4">
                              <w:pPr>
                                <w:rPr>
                                  <w:rFonts w:ascii="Times New Roman" w:hAnsi="Times New Roman" w:cs="Times New Roman"/>
                                </w:rPr>
                              </w:pPr>
                            </w:p>
                            <w:p w:rsidR="00A720C0" w:rsidRPr="004B502E" w:rsidRDefault="00A720C0" w:rsidP="00B826C4">
                              <w:pPr>
                                <w:rPr>
                                  <w:rFonts w:ascii="Times New Roman" w:hAnsi="Times New Roman" w:cs="Times New Roman"/>
                                </w:rPr>
                              </w:pPr>
                            </w:p>
                            <w:p w:rsidR="00A720C0" w:rsidRPr="004B502E" w:rsidRDefault="00A720C0" w:rsidP="00B826C4">
                              <w:pPr>
                                <w:rPr>
                                  <w:rFonts w:ascii="Times New Roman" w:hAnsi="Times New Roman" w:cs="Times New Roman"/>
                                </w:rPr>
                              </w:pPr>
                            </w:p>
                            <w:p w:rsidR="00A720C0" w:rsidRDefault="00A720C0" w:rsidP="00B826C4">
                              <w:pPr>
                                <w:rPr>
                                  <w:rFonts w:ascii="Times New Roman" w:hAnsi="Times New Roman" w:cs="Times New Roman"/>
                                  <w:i/>
                                </w:rPr>
                              </w:pPr>
                            </w:p>
                            <w:p w:rsidR="00A720C0" w:rsidRDefault="00A720C0" w:rsidP="00B826C4">
                              <w:pPr>
                                <w:rPr>
                                  <w:rFonts w:ascii="Times New Roman" w:hAnsi="Times New Roman" w:cs="Times New Roman"/>
                                  <w:i/>
                                </w:rPr>
                              </w:pPr>
                            </w:p>
                            <w:p w:rsidR="00A720C0" w:rsidRDefault="00A720C0" w:rsidP="00B826C4">
                              <w:pPr>
                                <w:rPr>
                                  <w:rFonts w:ascii="Times New Roman" w:hAnsi="Times New Roman" w:cs="Times New Roman"/>
                                  <w:i/>
                                </w:rPr>
                              </w:pPr>
                            </w:p>
                            <w:p w:rsidR="00A720C0" w:rsidRDefault="00A720C0" w:rsidP="00B826C4">
                              <w:pPr>
                                <w:jc w:val="center"/>
                                <w:rPr>
                                  <w:rFonts w:ascii="Times New Roman" w:hAnsi="Times New Roman" w:cs="Times New Roman"/>
                                </w:rPr>
                              </w:pPr>
                              <w:r w:rsidRPr="004B502E">
                                <w:rPr>
                                  <w:rFonts w:ascii="Times New Roman" w:hAnsi="Times New Roman" w:cs="Times New Roman"/>
                                  <w:i/>
                                </w:rPr>
                                <w:t>Figure 1.</w:t>
                              </w:r>
                              <w:r w:rsidRPr="004B502E">
                                <w:rPr>
                                  <w:rFonts w:ascii="Times New Roman" w:hAnsi="Times New Roman" w:cs="Times New Roman"/>
                                  <w:b/>
                                </w:rPr>
                                <w:t xml:space="preserve"> </w:t>
                              </w:r>
                              <w:r>
                                <w:rPr>
                                  <w:rFonts w:ascii="Times New Roman" w:hAnsi="Times New Roman" w:cs="Times New Roman"/>
                                </w:rPr>
                                <w:t>Illustration of the theoretical model</w:t>
                              </w:r>
                              <w:r w:rsidRPr="004B502E">
                                <w:rPr>
                                  <w:rFonts w:ascii="Times New Roman" w:hAnsi="Times New Roman" w:cs="Times New Roman"/>
                                </w:rPr>
                                <w:t>.</w:t>
                              </w:r>
                            </w:p>
                          </w:txbxContent>
                        </wps:txbx>
                        <wps:bodyPr rot="0" vert="horz" wrap="square" lIns="91440" tIns="45720" rIns="91440" bIns="45720" anchor="t" anchorCtr="0" upright="1">
                          <a:noAutofit/>
                        </wps:bodyPr>
                      </wps:wsp>
                      <wps:wsp>
                        <wps:cNvPr id="3" name="AutoShape 67"/>
                        <wps:cNvCnPr>
                          <a:cxnSpLocks noChangeShapeType="1"/>
                        </wps:cNvCnPr>
                        <wps:spPr bwMode="auto">
                          <a:xfrm flipV="1">
                            <a:off x="6484" y="5691"/>
                            <a:ext cx="0" cy="9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68"/>
                        <wps:cNvCnPr>
                          <a:cxnSpLocks noChangeShapeType="1"/>
                        </wps:cNvCnPr>
                        <wps:spPr bwMode="auto">
                          <a:xfrm>
                            <a:off x="3371" y="5211"/>
                            <a:ext cx="1" cy="978"/>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 name="AutoShape 69"/>
                        <wps:cNvCnPr>
                          <a:cxnSpLocks noChangeShapeType="1"/>
                        </wps:cNvCnPr>
                        <wps:spPr bwMode="auto">
                          <a:xfrm>
                            <a:off x="3372" y="5701"/>
                            <a:ext cx="381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70"/>
                        <wps:cNvSpPr>
                          <a:spLocks noChangeArrowheads="1"/>
                        </wps:cNvSpPr>
                        <wps:spPr bwMode="auto">
                          <a:xfrm>
                            <a:off x="1745" y="3090"/>
                            <a:ext cx="3254" cy="2018"/>
                          </a:xfrm>
                          <a:prstGeom prst="rect">
                            <a:avLst/>
                          </a:prstGeom>
                          <a:solidFill>
                            <a:srgbClr val="FFFFFF"/>
                          </a:solidFill>
                          <a:ln w="9525">
                            <a:solidFill>
                              <a:srgbClr val="000000"/>
                            </a:solidFill>
                            <a:miter lim="800000"/>
                            <a:headEnd/>
                            <a:tailEnd/>
                          </a:ln>
                        </wps:spPr>
                        <wps:txbx>
                          <w:txbxContent>
                            <w:p w:rsidR="00A720C0" w:rsidRDefault="00A720C0" w:rsidP="00B826C4">
                              <w:pPr>
                                <w:spacing w:after="120"/>
                                <w:jc w:val="center"/>
                                <w:rPr>
                                  <w:rFonts w:ascii="Times New Roman" w:hAnsi="Times New Roman" w:cs="Times New Roman"/>
                                  <w:b/>
                                  <w:sz w:val="20"/>
                                </w:rPr>
                              </w:pPr>
                              <w:r>
                                <w:rPr>
                                  <w:rFonts w:ascii="Times New Roman" w:hAnsi="Times New Roman" w:cs="Times New Roman"/>
                                  <w:b/>
                                  <w:sz w:val="20"/>
                                </w:rPr>
                                <w:t>Internal Factors</w:t>
                              </w:r>
                              <w:r w:rsidRPr="004B502E">
                                <w:rPr>
                                  <w:rFonts w:ascii="Times New Roman" w:hAnsi="Times New Roman" w:cs="Times New Roman"/>
                                  <w:b/>
                                  <w:sz w:val="20"/>
                                </w:rPr>
                                <w:t>:</w:t>
                              </w:r>
                            </w:p>
                            <w:p w:rsidR="00A720C0" w:rsidRDefault="00A720C0" w:rsidP="00B826C4">
                              <w:pPr>
                                <w:pStyle w:val="ListParagraph"/>
                                <w:numPr>
                                  <w:ilvl w:val="0"/>
                                  <w:numId w:val="19"/>
                                </w:numPr>
                                <w:ind w:left="360" w:hanging="180"/>
                                <w:rPr>
                                  <w:rFonts w:ascii="Times New Roman" w:hAnsi="Times New Roman" w:cs="Times New Roman"/>
                                  <w:b/>
                                  <w:sz w:val="20"/>
                                </w:rPr>
                              </w:pPr>
                              <w:r w:rsidRPr="00662D84">
                                <w:rPr>
                                  <w:rFonts w:ascii="Times New Roman" w:hAnsi="Times New Roman" w:cs="Times New Roman"/>
                                  <w:b/>
                                  <w:sz w:val="20"/>
                                </w:rPr>
                                <w:t>Capital Ratio (EQTA)</w:t>
                              </w:r>
                            </w:p>
                            <w:p w:rsidR="00A720C0" w:rsidRDefault="00A720C0" w:rsidP="00B826C4">
                              <w:pPr>
                                <w:pStyle w:val="ListParagraph"/>
                                <w:numPr>
                                  <w:ilvl w:val="0"/>
                                  <w:numId w:val="19"/>
                                </w:numPr>
                                <w:ind w:left="360" w:hanging="180"/>
                                <w:rPr>
                                  <w:rFonts w:ascii="Times New Roman" w:hAnsi="Times New Roman" w:cs="Times New Roman"/>
                                  <w:b/>
                                  <w:sz w:val="20"/>
                                </w:rPr>
                              </w:pPr>
                              <w:r w:rsidRPr="00662D84">
                                <w:rPr>
                                  <w:rFonts w:ascii="Times New Roman" w:hAnsi="Times New Roman" w:cs="Times New Roman"/>
                                  <w:b/>
                                  <w:sz w:val="20"/>
                                </w:rPr>
                                <w:t>Liquidity Ratio (LTA)</w:t>
                              </w:r>
                            </w:p>
                            <w:p w:rsidR="00A720C0" w:rsidRDefault="00A720C0" w:rsidP="00B826C4">
                              <w:pPr>
                                <w:pStyle w:val="ListParagraph"/>
                                <w:numPr>
                                  <w:ilvl w:val="0"/>
                                  <w:numId w:val="19"/>
                                </w:numPr>
                                <w:ind w:left="360" w:hanging="180"/>
                                <w:rPr>
                                  <w:rFonts w:ascii="Times New Roman" w:hAnsi="Times New Roman" w:cs="Times New Roman"/>
                                  <w:b/>
                                  <w:sz w:val="20"/>
                                </w:rPr>
                              </w:pPr>
                              <w:r w:rsidRPr="00662D84">
                                <w:rPr>
                                  <w:rFonts w:ascii="Times New Roman" w:hAnsi="Times New Roman" w:cs="Times New Roman"/>
                                  <w:b/>
                                  <w:sz w:val="20"/>
                                </w:rPr>
                                <w:t>Efficiency Ratio (EXTA)</w:t>
                              </w:r>
                            </w:p>
                            <w:p w:rsidR="00A720C0" w:rsidRDefault="00A720C0" w:rsidP="00B826C4">
                              <w:pPr>
                                <w:pStyle w:val="ListParagraph"/>
                                <w:numPr>
                                  <w:ilvl w:val="0"/>
                                  <w:numId w:val="19"/>
                                </w:numPr>
                                <w:ind w:left="360" w:hanging="180"/>
                                <w:rPr>
                                  <w:rFonts w:ascii="Times New Roman" w:hAnsi="Times New Roman" w:cs="Times New Roman"/>
                                  <w:b/>
                                  <w:sz w:val="20"/>
                                </w:rPr>
                              </w:pPr>
                              <w:r w:rsidRPr="00662D84">
                                <w:rPr>
                                  <w:rFonts w:ascii="Times New Roman" w:hAnsi="Times New Roman" w:cs="Times New Roman"/>
                                  <w:b/>
                                  <w:sz w:val="20"/>
                                </w:rPr>
                                <w:t>Bank Ownership (OWN)</w:t>
                              </w:r>
                            </w:p>
                            <w:p w:rsidR="00A720C0" w:rsidRPr="00662D84" w:rsidRDefault="00A720C0" w:rsidP="00B826C4">
                              <w:pPr>
                                <w:pStyle w:val="ListParagraph"/>
                                <w:numPr>
                                  <w:ilvl w:val="0"/>
                                  <w:numId w:val="19"/>
                                </w:numPr>
                                <w:ind w:left="360" w:hanging="180"/>
                                <w:rPr>
                                  <w:rFonts w:ascii="Times New Roman" w:hAnsi="Times New Roman" w:cs="Times New Roman"/>
                                  <w:b/>
                                  <w:sz w:val="20"/>
                                </w:rPr>
                              </w:pPr>
                              <w:r w:rsidRPr="00662D84">
                                <w:rPr>
                                  <w:rFonts w:ascii="Times New Roman" w:hAnsi="Times New Roman" w:cs="Times New Roman"/>
                                  <w:b/>
                                  <w:sz w:val="20"/>
                                </w:rPr>
                                <w:t>Bank Size (LNSIZE)</w:t>
                              </w:r>
                            </w:p>
                            <w:p w:rsidR="00A720C0" w:rsidRPr="004B502E" w:rsidRDefault="00A720C0" w:rsidP="00B826C4">
                              <w:pPr>
                                <w:rPr>
                                  <w:rFonts w:ascii="Times New Roman" w:hAnsi="Times New Roman" w:cs="Times New Roman"/>
                                </w:rPr>
                              </w:pPr>
                            </w:p>
                          </w:txbxContent>
                        </wps:txbx>
                        <wps:bodyPr rot="0" vert="horz" wrap="square" lIns="91440" tIns="45720" rIns="91440" bIns="45720" anchor="t" anchorCtr="0" upright="1">
                          <a:noAutofit/>
                        </wps:bodyPr>
                      </wps:wsp>
                      <wps:wsp>
                        <wps:cNvPr id="7" name="Rectangle 71"/>
                        <wps:cNvSpPr>
                          <a:spLocks noChangeArrowheads="1"/>
                        </wps:cNvSpPr>
                        <wps:spPr bwMode="auto">
                          <a:xfrm>
                            <a:off x="1746" y="6188"/>
                            <a:ext cx="3253" cy="2260"/>
                          </a:xfrm>
                          <a:prstGeom prst="rect">
                            <a:avLst/>
                          </a:prstGeom>
                          <a:solidFill>
                            <a:srgbClr val="FFFFFF"/>
                          </a:solidFill>
                          <a:ln w="9525">
                            <a:solidFill>
                              <a:srgbClr val="000000"/>
                            </a:solidFill>
                            <a:miter lim="800000"/>
                            <a:headEnd/>
                            <a:tailEnd/>
                          </a:ln>
                        </wps:spPr>
                        <wps:txbx>
                          <w:txbxContent>
                            <w:p w:rsidR="00A720C0" w:rsidRDefault="00A720C0" w:rsidP="00B826C4">
                              <w:pPr>
                                <w:spacing w:after="120"/>
                                <w:jc w:val="center"/>
                                <w:rPr>
                                  <w:rFonts w:ascii="Times New Roman" w:hAnsi="Times New Roman" w:cs="Times New Roman"/>
                                  <w:b/>
                                  <w:sz w:val="20"/>
                                </w:rPr>
                              </w:pPr>
                              <w:r w:rsidRPr="0078797A">
                                <w:rPr>
                                  <w:rFonts w:ascii="Times New Roman" w:hAnsi="Times New Roman" w:cs="Times New Roman"/>
                                  <w:b/>
                                  <w:sz w:val="20"/>
                                </w:rPr>
                                <w:t>External Factors:</w:t>
                              </w:r>
                            </w:p>
                            <w:p w:rsidR="00A720C0" w:rsidRDefault="00A720C0" w:rsidP="00B826C4">
                              <w:pPr>
                                <w:pStyle w:val="ListParagraph"/>
                                <w:numPr>
                                  <w:ilvl w:val="0"/>
                                  <w:numId w:val="20"/>
                                </w:numPr>
                                <w:ind w:left="180" w:hanging="180"/>
                                <w:rPr>
                                  <w:rFonts w:ascii="Times New Roman" w:hAnsi="Times New Roman" w:cs="Times New Roman"/>
                                  <w:b/>
                                  <w:sz w:val="20"/>
                                </w:rPr>
                              </w:pPr>
                              <w:r w:rsidRPr="00662D84">
                                <w:rPr>
                                  <w:rFonts w:ascii="Times New Roman" w:hAnsi="Times New Roman" w:cs="Times New Roman"/>
                                  <w:b/>
                                  <w:sz w:val="20"/>
                                </w:rPr>
                                <w:t xml:space="preserve">Inflation Adjusted Annual Gross Domestic Product (GDP) </w:t>
                              </w:r>
                            </w:p>
                            <w:p w:rsidR="00A720C0" w:rsidRDefault="00A720C0" w:rsidP="00B826C4">
                              <w:pPr>
                                <w:pStyle w:val="ListParagraph"/>
                                <w:numPr>
                                  <w:ilvl w:val="0"/>
                                  <w:numId w:val="20"/>
                                </w:numPr>
                                <w:ind w:left="180" w:hanging="180"/>
                                <w:rPr>
                                  <w:rFonts w:ascii="Times New Roman" w:hAnsi="Times New Roman" w:cs="Times New Roman"/>
                                  <w:b/>
                                  <w:sz w:val="20"/>
                                </w:rPr>
                              </w:pPr>
                              <w:r w:rsidRPr="00662D84">
                                <w:rPr>
                                  <w:rFonts w:ascii="Times New Roman" w:hAnsi="Times New Roman" w:cs="Times New Roman"/>
                                  <w:b/>
                                  <w:sz w:val="20"/>
                                </w:rPr>
                                <w:t>Inflation Rate (INF)</w:t>
                              </w:r>
                            </w:p>
                            <w:p w:rsidR="00A720C0" w:rsidRDefault="00A720C0" w:rsidP="00B826C4">
                              <w:pPr>
                                <w:pStyle w:val="ListParagraph"/>
                                <w:numPr>
                                  <w:ilvl w:val="0"/>
                                  <w:numId w:val="20"/>
                                </w:numPr>
                                <w:ind w:left="180" w:hanging="180"/>
                                <w:rPr>
                                  <w:rFonts w:ascii="Times New Roman" w:hAnsi="Times New Roman" w:cs="Times New Roman"/>
                                  <w:b/>
                                  <w:sz w:val="20"/>
                                </w:rPr>
                              </w:pPr>
                              <w:r w:rsidRPr="00662D84">
                                <w:rPr>
                                  <w:rFonts w:ascii="Times New Roman" w:hAnsi="Times New Roman" w:cs="Times New Roman"/>
                                  <w:b/>
                                  <w:sz w:val="20"/>
                                </w:rPr>
                                <w:t>Money Supply (MS)</w:t>
                              </w:r>
                            </w:p>
                            <w:p w:rsidR="00A720C0" w:rsidRPr="00662D84" w:rsidRDefault="00A720C0" w:rsidP="00B826C4">
                              <w:pPr>
                                <w:pStyle w:val="ListParagraph"/>
                                <w:numPr>
                                  <w:ilvl w:val="0"/>
                                  <w:numId w:val="20"/>
                                </w:numPr>
                                <w:ind w:left="180" w:hanging="180"/>
                                <w:rPr>
                                  <w:rFonts w:ascii="Times New Roman" w:hAnsi="Times New Roman" w:cs="Times New Roman"/>
                                  <w:b/>
                                  <w:sz w:val="20"/>
                                </w:rPr>
                              </w:pPr>
                              <w:r w:rsidRPr="00662D84">
                                <w:rPr>
                                  <w:rFonts w:ascii="Times New Roman" w:hAnsi="Times New Roman" w:cs="Times New Roman"/>
                                  <w:b/>
                                  <w:sz w:val="20"/>
                                </w:rPr>
                                <w:t xml:space="preserve">Taxation Indicator Variable (TAX) </w:t>
                              </w:r>
                            </w:p>
                            <w:p w:rsidR="00A720C0" w:rsidRPr="0078797A" w:rsidRDefault="00A720C0" w:rsidP="00B826C4">
                              <w:pPr>
                                <w:jc w:val="center"/>
                                <w:rPr>
                                  <w:rFonts w:ascii="Times New Roman" w:hAnsi="Times New Roman" w:cs="Times New Roman"/>
                                  <w:b/>
                                  <w:sz w:val="20"/>
                                </w:rPr>
                              </w:pPr>
                            </w:p>
                            <w:p w:rsidR="00A720C0" w:rsidRPr="0078797A" w:rsidRDefault="00A720C0" w:rsidP="00B826C4">
                              <w:pPr>
                                <w:rPr>
                                  <w:rFonts w:ascii="Times New Roman" w:hAnsi="Times New Roman" w:cs="Times New Roman"/>
                                </w:rPr>
                              </w:pPr>
                            </w:p>
                            <w:p w:rsidR="00A720C0" w:rsidRDefault="00A720C0" w:rsidP="00B826C4"/>
                            <w:p w:rsidR="00A720C0" w:rsidRPr="0078797A" w:rsidRDefault="00A720C0" w:rsidP="00B826C4">
                              <w:pPr>
                                <w:jc w:val="center"/>
                                <w:rPr>
                                  <w:rFonts w:ascii="Times New Roman" w:hAnsi="Times New Roman" w:cs="Times New Roman"/>
                                  <w:b/>
                                  <w:sz w:val="20"/>
                                </w:rPr>
                              </w:pPr>
                              <w:r w:rsidRPr="0078797A">
                                <w:rPr>
                                  <w:rFonts w:ascii="Times New Roman" w:hAnsi="Times New Roman" w:cs="Times New Roman"/>
                                  <w:b/>
                                  <w:sz w:val="20"/>
                                </w:rPr>
                                <w:t>Performance Indicator:</w:t>
                              </w:r>
                            </w:p>
                            <w:p w:rsidR="00A720C0" w:rsidRPr="00827036" w:rsidRDefault="00A720C0" w:rsidP="00B826C4">
                              <w:pPr>
                                <w:rPr>
                                  <w:rFonts w:ascii="Times New Roman" w:hAnsi="Times New Roman" w:cs="Times New Roman"/>
                                  <w:b/>
                                  <w:sz w:val="20"/>
                                </w:rPr>
                              </w:pPr>
                              <w:r w:rsidRPr="0078797A">
                                <w:rPr>
                                  <w:rFonts w:ascii="Times New Roman" w:hAnsi="Times New Roman" w:cs="Times New Roman"/>
                                  <w:b/>
                                  <w:sz w:val="20"/>
                                </w:rPr>
                                <w:t xml:space="preserve">Return on </w:t>
                              </w:r>
                            </w:p>
                          </w:txbxContent>
                        </wps:txbx>
                        <wps:bodyPr rot="0" vert="horz" wrap="square" lIns="91440" tIns="45720" rIns="91440" bIns="45720" anchor="t" anchorCtr="0" upright="1">
                          <a:noAutofit/>
                        </wps:bodyPr>
                      </wps:wsp>
                      <wps:wsp>
                        <wps:cNvPr id="8" name="Rectangle 72"/>
                        <wps:cNvSpPr>
                          <a:spLocks noChangeArrowheads="1"/>
                        </wps:cNvSpPr>
                        <wps:spPr bwMode="auto">
                          <a:xfrm>
                            <a:off x="7185" y="5211"/>
                            <a:ext cx="2718" cy="1037"/>
                          </a:xfrm>
                          <a:prstGeom prst="rect">
                            <a:avLst/>
                          </a:prstGeom>
                          <a:solidFill>
                            <a:srgbClr val="FFFFFF"/>
                          </a:solidFill>
                          <a:ln w="9525">
                            <a:solidFill>
                              <a:srgbClr val="000000"/>
                            </a:solidFill>
                            <a:miter lim="800000"/>
                            <a:headEnd/>
                            <a:tailEnd/>
                          </a:ln>
                        </wps:spPr>
                        <wps:txbx>
                          <w:txbxContent>
                            <w:p w:rsidR="00A720C0" w:rsidRPr="00827036" w:rsidRDefault="00A720C0" w:rsidP="00B826C4">
                              <w:pPr>
                                <w:jc w:val="center"/>
                                <w:rPr>
                                  <w:rFonts w:ascii="Times New Roman" w:hAnsi="Times New Roman" w:cs="Times New Roman"/>
                                  <w:b/>
                                  <w:sz w:val="20"/>
                                </w:rPr>
                              </w:pPr>
                              <w:r w:rsidRPr="00827036">
                                <w:rPr>
                                  <w:rFonts w:ascii="Times New Roman" w:hAnsi="Times New Roman" w:cs="Times New Roman"/>
                                  <w:b/>
                                  <w:sz w:val="20"/>
                                </w:rPr>
                                <w:t>Performance Indicator:</w:t>
                              </w:r>
                            </w:p>
                            <w:p w:rsidR="00A720C0" w:rsidRPr="0078797A" w:rsidRDefault="00A720C0" w:rsidP="00B826C4">
                              <w:pPr>
                                <w:jc w:val="center"/>
                                <w:rPr>
                                  <w:rFonts w:ascii="Times New Roman" w:hAnsi="Times New Roman" w:cs="Times New Roman"/>
                                  <w:b/>
                                  <w:sz w:val="20"/>
                                </w:rPr>
                              </w:pPr>
                              <w:r w:rsidRPr="00827036">
                                <w:rPr>
                                  <w:rFonts w:ascii="Times New Roman" w:hAnsi="Times New Roman" w:cs="Times New Roman"/>
                                  <w:b/>
                                  <w:sz w:val="20"/>
                                </w:rPr>
                                <w:t xml:space="preserve">Return on </w:t>
                              </w:r>
                              <w:r w:rsidRPr="0078797A">
                                <w:rPr>
                                  <w:rFonts w:ascii="Times New Roman" w:hAnsi="Times New Roman" w:cs="Times New Roman"/>
                                  <w:b/>
                                  <w:sz w:val="20"/>
                                </w:rPr>
                                <w:t>Assets (ROA)</w:t>
                              </w:r>
                            </w:p>
                            <w:p w:rsidR="00A720C0" w:rsidRPr="0078797A" w:rsidRDefault="00A720C0" w:rsidP="00B826C4">
                              <w:pPr>
                                <w:jc w:val="center"/>
                                <w:rPr>
                                  <w:rFonts w:ascii="Times New Roman" w:hAnsi="Times New Roman" w:cs="Times New Roman"/>
                                  <w:b/>
                                  <w:sz w:val="20"/>
                                </w:rPr>
                              </w:pPr>
                            </w:p>
                            <w:p w:rsidR="00A720C0" w:rsidRPr="0078797A" w:rsidRDefault="00A720C0" w:rsidP="00B826C4">
                              <w:pPr>
                                <w:rPr>
                                  <w:rFonts w:ascii="Times New Roman" w:hAnsi="Times New Roman" w:cs="Times New Roman"/>
                                </w:rPr>
                              </w:pPr>
                            </w:p>
                          </w:txbxContent>
                        </wps:txbx>
                        <wps:bodyPr rot="0" vert="horz" wrap="square" lIns="91440" tIns="45720" rIns="91440" bIns="45720" anchor="t" anchorCtr="0" upright="1">
                          <a:noAutofit/>
                        </wps:bodyPr>
                      </wps:wsp>
                      <wps:wsp>
                        <wps:cNvPr id="9" name="Rectangle 73"/>
                        <wps:cNvSpPr>
                          <a:spLocks noChangeArrowheads="1"/>
                        </wps:cNvSpPr>
                        <wps:spPr bwMode="auto">
                          <a:xfrm>
                            <a:off x="5304" y="6648"/>
                            <a:ext cx="2332" cy="1256"/>
                          </a:xfrm>
                          <a:prstGeom prst="rect">
                            <a:avLst/>
                          </a:prstGeom>
                          <a:solidFill>
                            <a:srgbClr val="FFFFFF"/>
                          </a:solidFill>
                          <a:ln w="9525">
                            <a:solidFill>
                              <a:srgbClr val="000000"/>
                            </a:solidFill>
                            <a:miter lim="800000"/>
                            <a:headEnd/>
                            <a:tailEnd/>
                          </a:ln>
                        </wps:spPr>
                        <wps:txbx>
                          <w:txbxContent>
                            <w:p w:rsidR="00A720C0" w:rsidRDefault="00A720C0" w:rsidP="00B826C4">
                              <w:pPr>
                                <w:pStyle w:val="ListParagraph"/>
                                <w:numPr>
                                  <w:ilvl w:val="0"/>
                                  <w:numId w:val="21"/>
                                </w:numPr>
                                <w:ind w:left="180" w:hanging="180"/>
                                <w:rPr>
                                  <w:rFonts w:ascii="Times New Roman" w:hAnsi="Times New Roman" w:cs="Times New Roman"/>
                                  <w:b/>
                                  <w:sz w:val="20"/>
                                </w:rPr>
                              </w:pPr>
                              <w:r w:rsidRPr="00662D84">
                                <w:rPr>
                                  <w:rFonts w:ascii="Times New Roman" w:hAnsi="Times New Roman" w:cs="Times New Roman"/>
                                  <w:b/>
                                  <w:sz w:val="20"/>
                                </w:rPr>
                                <w:t>Bank</w:t>
                              </w:r>
                              <w:r w:rsidRPr="00EF0829">
                                <w:rPr>
                                  <w:rFonts w:ascii="Times New Roman" w:hAnsi="Times New Roman" w:cs="Times New Roman"/>
                                  <w:b/>
                                  <w:sz w:val="20"/>
                                </w:rPr>
                                <w:t xml:space="preserve"> </w:t>
                              </w:r>
                              <w:r w:rsidRPr="00662D84">
                                <w:rPr>
                                  <w:rFonts w:ascii="Times New Roman" w:hAnsi="Times New Roman" w:cs="Times New Roman"/>
                                  <w:b/>
                                  <w:sz w:val="20"/>
                                </w:rPr>
                                <w:t>Maturity</w:t>
                              </w:r>
                              <w:r>
                                <w:rPr>
                                  <w:rFonts w:ascii="Times New Roman" w:hAnsi="Times New Roman" w:cs="Times New Roman"/>
                                  <w:b/>
                                  <w:sz w:val="20"/>
                                </w:rPr>
                                <w:t xml:space="preserve"> (</w:t>
                              </w:r>
                              <w:r w:rsidRPr="00662D84">
                                <w:rPr>
                                  <w:rFonts w:ascii="Times New Roman" w:hAnsi="Times New Roman" w:cs="Times New Roman"/>
                                  <w:b/>
                                  <w:sz w:val="20"/>
                                </w:rPr>
                                <w:t>AGE)</w:t>
                              </w:r>
                            </w:p>
                            <w:p w:rsidR="00A720C0" w:rsidRDefault="00A720C0" w:rsidP="00B826C4">
                              <w:pPr>
                                <w:pStyle w:val="ListParagraph"/>
                                <w:numPr>
                                  <w:ilvl w:val="0"/>
                                  <w:numId w:val="21"/>
                                </w:numPr>
                                <w:ind w:left="180" w:hanging="180"/>
                                <w:rPr>
                                  <w:rFonts w:ascii="Times New Roman" w:hAnsi="Times New Roman" w:cs="Times New Roman"/>
                                  <w:b/>
                                  <w:sz w:val="20"/>
                                </w:rPr>
                              </w:pPr>
                              <w:r w:rsidRPr="00662D84">
                                <w:rPr>
                                  <w:rFonts w:ascii="Times New Roman" w:hAnsi="Times New Roman" w:cs="Times New Roman"/>
                                  <w:b/>
                                  <w:sz w:val="20"/>
                                </w:rPr>
                                <w:t>Financial Crisis (Crisis</w:t>
                              </w:r>
                              <w:r>
                                <w:rPr>
                                  <w:rFonts w:ascii="Times New Roman" w:hAnsi="Times New Roman" w:cs="Times New Roman"/>
                                  <w:b/>
                                  <w:sz w:val="20"/>
                                </w:rPr>
                                <w:t xml:space="preserve"> </w:t>
                              </w:r>
                              <w:r w:rsidRPr="00662D84">
                                <w:rPr>
                                  <w:rFonts w:ascii="Times New Roman" w:hAnsi="Times New Roman" w:cs="Times New Roman"/>
                                  <w:b/>
                                  <w:sz w:val="20"/>
                                </w:rPr>
                                <w:t>2008)</w:t>
                              </w:r>
                            </w:p>
                            <w:p w:rsidR="00A720C0" w:rsidRPr="00662D84" w:rsidRDefault="00A720C0" w:rsidP="00B826C4">
                              <w:pPr>
                                <w:pStyle w:val="ListParagraph"/>
                                <w:ind w:left="180"/>
                                <w:rPr>
                                  <w:rFonts w:ascii="Times New Roman" w:hAnsi="Times New Roman" w:cs="Times New Roman"/>
                                  <w:b/>
                                  <w:sz w:val="20"/>
                                </w:rPr>
                              </w:pPr>
                            </w:p>
                            <w:p w:rsidR="00A720C0" w:rsidRPr="0078797A" w:rsidRDefault="00A720C0" w:rsidP="00B826C4">
                              <w:pPr>
                                <w:jc w:val="center"/>
                                <w:rPr>
                                  <w:rFonts w:ascii="Times New Roman" w:hAnsi="Times New Roman" w:cs="Times New Roman"/>
                                  <w:b/>
                                  <w:sz w:val="20"/>
                                </w:rPr>
                              </w:pPr>
                            </w:p>
                            <w:p w:rsidR="00A720C0" w:rsidRPr="0078797A" w:rsidRDefault="00A720C0" w:rsidP="00B826C4">
                              <w:pPr>
                                <w:rPr>
                                  <w:rFonts w:ascii="Times New Roman" w:hAnsi="Times New Roman" w:cs="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left:0;text-align:left;margin-left:0;margin-top:-3.7pt;width:6in;height:320.25pt;z-index:251658240" coordorigin="1515,2922" coordsize="8640,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">
                <v:rect id="Rectangle 66" o:spid="_x0000_s1027" style="position:absolute;left:1515;top:2922;width:8640;height:6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A720C0" w:rsidRPr="004B502E" w:rsidRDefault="00A720C0" w:rsidP="00B826C4">
                        <w:pPr>
                          <w:rPr>
                            <w:rFonts w:ascii="Times New Roman" w:hAnsi="Times New Roman" w:cs="Times New Roman"/>
                          </w:rPr>
                        </w:pPr>
                        <w:r w:rsidRPr="004B502E">
                          <w:rPr>
                            <w:rFonts w:ascii="Times New Roman" w:hAnsi="Times New Roman" w:cs="Times New Roman"/>
                            <w:b/>
                          </w:rPr>
                          <w:t xml:space="preserve">  </w:t>
                        </w:r>
                      </w:p>
                      <w:p w:rsidR="00A720C0" w:rsidRPr="004B502E" w:rsidRDefault="00A720C0" w:rsidP="00B826C4">
                        <w:pPr>
                          <w:rPr>
                            <w:rFonts w:ascii="Times New Roman" w:hAnsi="Times New Roman" w:cs="Times New Roman"/>
                          </w:rPr>
                        </w:pPr>
                      </w:p>
                      <w:p w:rsidR="00A720C0" w:rsidRPr="004B502E" w:rsidRDefault="00A720C0" w:rsidP="00B826C4">
                        <w:pPr>
                          <w:rPr>
                            <w:rFonts w:ascii="Times New Roman" w:hAnsi="Times New Roman" w:cs="Times New Roman"/>
                          </w:rPr>
                        </w:pPr>
                      </w:p>
                      <w:p w:rsidR="00A720C0" w:rsidRPr="004B502E" w:rsidRDefault="00A720C0" w:rsidP="00B826C4">
                        <w:pPr>
                          <w:rPr>
                            <w:rFonts w:ascii="Times New Roman" w:hAnsi="Times New Roman" w:cs="Times New Roman"/>
                          </w:rPr>
                        </w:pPr>
                      </w:p>
                      <w:p w:rsidR="00A720C0" w:rsidRPr="004B502E" w:rsidRDefault="00A720C0" w:rsidP="00B826C4">
                        <w:pPr>
                          <w:rPr>
                            <w:rFonts w:ascii="Times New Roman" w:hAnsi="Times New Roman" w:cs="Times New Roman"/>
                          </w:rPr>
                        </w:pPr>
                      </w:p>
                      <w:p w:rsidR="00A720C0" w:rsidRPr="004B502E" w:rsidRDefault="00A720C0" w:rsidP="00B826C4">
                        <w:pPr>
                          <w:rPr>
                            <w:rFonts w:ascii="Times New Roman" w:hAnsi="Times New Roman" w:cs="Times New Roman"/>
                          </w:rPr>
                        </w:pPr>
                      </w:p>
                      <w:p w:rsidR="00A720C0" w:rsidRPr="004B502E" w:rsidRDefault="00A720C0" w:rsidP="00B826C4">
                        <w:pPr>
                          <w:rPr>
                            <w:rFonts w:ascii="Times New Roman" w:hAnsi="Times New Roman" w:cs="Times New Roman"/>
                          </w:rPr>
                        </w:pPr>
                      </w:p>
                      <w:p w:rsidR="00A720C0" w:rsidRPr="004B502E" w:rsidRDefault="00A720C0" w:rsidP="00B826C4">
                        <w:pPr>
                          <w:rPr>
                            <w:rFonts w:ascii="Times New Roman" w:hAnsi="Times New Roman" w:cs="Times New Roman"/>
                          </w:rPr>
                        </w:pPr>
                      </w:p>
                      <w:p w:rsidR="00A720C0" w:rsidRPr="004B502E" w:rsidRDefault="00A720C0" w:rsidP="00B826C4">
                        <w:pPr>
                          <w:rPr>
                            <w:rFonts w:ascii="Times New Roman" w:hAnsi="Times New Roman" w:cs="Times New Roman"/>
                          </w:rPr>
                        </w:pPr>
                      </w:p>
                      <w:p w:rsidR="00A720C0" w:rsidRDefault="00A720C0" w:rsidP="00B826C4">
                        <w:pPr>
                          <w:rPr>
                            <w:rFonts w:ascii="Times New Roman" w:hAnsi="Times New Roman" w:cs="Times New Roman"/>
                            <w:i/>
                          </w:rPr>
                        </w:pPr>
                      </w:p>
                      <w:p w:rsidR="00A720C0" w:rsidRDefault="00A720C0" w:rsidP="00B826C4">
                        <w:pPr>
                          <w:rPr>
                            <w:rFonts w:ascii="Times New Roman" w:hAnsi="Times New Roman" w:cs="Times New Roman"/>
                            <w:i/>
                          </w:rPr>
                        </w:pPr>
                      </w:p>
                      <w:p w:rsidR="00A720C0" w:rsidRDefault="00A720C0" w:rsidP="00B826C4">
                        <w:pPr>
                          <w:rPr>
                            <w:rFonts w:ascii="Times New Roman" w:hAnsi="Times New Roman" w:cs="Times New Roman"/>
                            <w:i/>
                          </w:rPr>
                        </w:pPr>
                      </w:p>
                      <w:p w:rsidR="00A720C0" w:rsidRDefault="00A720C0" w:rsidP="00B826C4">
                        <w:pPr>
                          <w:jc w:val="center"/>
                          <w:rPr>
                            <w:rFonts w:ascii="Times New Roman" w:hAnsi="Times New Roman" w:cs="Times New Roman"/>
                          </w:rPr>
                        </w:pPr>
                        <w:r w:rsidRPr="004B502E">
                          <w:rPr>
                            <w:rFonts w:ascii="Times New Roman" w:hAnsi="Times New Roman" w:cs="Times New Roman"/>
                            <w:i/>
                          </w:rPr>
                          <w:t>Figure 1.</w:t>
                        </w:r>
                        <w:r w:rsidRPr="004B502E">
                          <w:rPr>
                            <w:rFonts w:ascii="Times New Roman" w:hAnsi="Times New Roman" w:cs="Times New Roman"/>
                            <w:b/>
                          </w:rPr>
                          <w:t xml:space="preserve"> </w:t>
                        </w:r>
                        <w:r>
                          <w:rPr>
                            <w:rFonts w:ascii="Times New Roman" w:hAnsi="Times New Roman" w:cs="Times New Roman"/>
                          </w:rPr>
                          <w:t>Illustration of the theoretical model</w:t>
                        </w:r>
                        <w:r w:rsidRPr="004B502E">
                          <w:rPr>
                            <w:rFonts w:ascii="Times New Roman" w:hAnsi="Times New Roman" w:cs="Times New Roman"/>
                          </w:rPr>
                          <w:t>.</w:t>
                        </w:r>
                      </w:p>
                    </w:txbxContent>
                  </v:textbox>
                </v:rect>
                <v:shapetype id="_x0000_t32" coordsize="21600,21600" o:spt="32" o:oned="t" path="m,l21600,21600e" filled="f">
                  <v:path arrowok="t" fillok="f" o:connecttype="none"/>
                  <o:lock v:ext="edit" shapetype="t"/>
                </v:shapetype>
                <v:shape id="AutoShape 67" o:spid="_x0000_s1028" type="#_x0000_t32" style="position:absolute;left:6484;top:5691;width:0;height:9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DEcEAAADaAAAADwAAAGRycy9kb3ducmV2LnhtbESPQWsCMRSE7wX/Q3gFb91sK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RoMRwQAAANoAAAAPAAAAAAAAAAAAAAAA&#10;AKECAABkcnMvZG93bnJldi54bWxQSwUGAAAAAAQABAD5AAAAjwMAAAAA&#10;">
                  <v:stroke endarrow="block"/>
                </v:shape>
                <v:shape id="AutoShape 68" o:spid="_x0000_s1029" type="#_x0000_t32" style="position:absolute;left:3371;top:5211;width:1;height:9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j5McAAAADaAAAADwAAAGRycy9kb3ducmV2LnhtbESPwWrDMBBE74H8g9hAb7GcYkJwrYRS&#10;EtJr3ZReF2trObFWjqTG7t9HhUKPw8y8YardZHtxIx86xwpWWQ6CuHG641bB6f2w3IAIEVlj75gU&#10;/FCA3XY+q7DUbuQ3utWxFQnCoUQFJsahlDI0hiyGzA3Eyfty3mJM0rdSexwT3PbyMc/X0mLHacHg&#10;QC+Gmkv9bRWQnI7GnuVR78fPOASPefFxVephMT0/gYg0xf/wX/tVKyjg90q6AXJ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Y+THAAAAA2gAAAA8AAAAAAAAAAAAAAAAA&#10;oQIAAGRycy9kb3ducmV2LnhtbFBLBQYAAAAABAAEAPkAAACOAwAAAAA=&#10;" strokeweight="1pt">
                  <v:stroke dashstyle="dash"/>
                </v:shape>
                <v:shape id="AutoShape 69" o:spid="_x0000_s1030" type="#_x0000_t32" style="position:absolute;left:3372;top:5701;width:38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rect id="Rectangle 70" o:spid="_x0000_s1031" style="position:absolute;left:1745;top:3090;width:3254;height:2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A720C0" w:rsidRDefault="00A720C0" w:rsidP="00B826C4">
                        <w:pPr>
                          <w:spacing w:after="120"/>
                          <w:jc w:val="center"/>
                          <w:rPr>
                            <w:rFonts w:ascii="Times New Roman" w:hAnsi="Times New Roman" w:cs="Times New Roman"/>
                            <w:b/>
                            <w:sz w:val="20"/>
                          </w:rPr>
                        </w:pPr>
                        <w:r>
                          <w:rPr>
                            <w:rFonts w:ascii="Times New Roman" w:hAnsi="Times New Roman" w:cs="Times New Roman"/>
                            <w:b/>
                            <w:sz w:val="20"/>
                          </w:rPr>
                          <w:t>Internal Factors</w:t>
                        </w:r>
                        <w:r w:rsidRPr="004B502E">
                          <w:rPr>
                            <w:rFonts w:ascii="Times New Roman" w:hAnsi="Times New Roman" w:cs="Times New Roman"/>
                            <w:b/>
                            <w:sz w:val="20"/>
                          </w:rPr>
                          <w:t>:</w:t>
                        </w:r>
                      </w:p>
                      <w:p w:rsidR="00A720C0" w:rsidRDefault="00A720C0" w:rsidP="00B826C4">
                        <w:pPr>
                          <w:pStyle w:val="ListParagraph"/>
                          <w:numPr>
                            <w:ilvl w:val="0"/>
                            <w:numId w:val="19"/>
                          </w:numPr>
                          <w:ind w:left="360" w:hanging="180"/>
                          <w:rPr>
                            <w:rFonts w:ascii="Times New Roman" w:hAnsi="Times New Roman" w:cs="Times New Roman"/>
                            <w:b/>
                            <w:sz w:val="20"/>
                          </w:rPr>
                        </w:pPr>
                        <w:r w:rsidRPr="00662D84">
                          <w:rPr>
                            <w:rFonts w:ascii="Times New Roman" w:hAnsi="Times New Roman" w:cs="Times New Roman"/>
                            <w:b/>
                            <w:sz w:val="20"/>
                          </w:rPr>
                          <w:t>Capital Ratio (EQTA)</w:t>
                        </w:r>
                      </w:p>
                      <w:p w:rsidR="00A720C0" w:rsidRDefault="00A720C0" w:rsidP="00B826C4">
                        <w:pPr>
                          <w:pStyle w:val="ListParagraph"/>
                          <w:numPr>
                            <w:ilvl w:val="0"/>
                            <w:numId w:val="19"/>
                          </w:numPr>
                          <w:ind w:left="360" w:hanging="180"/>
                          <w:rPr>
                            <w:rFonts w:ascii="Times New Roman" w:hAnsi="Times New Roman" w:cs="Times New Roman"/>
                            <w:b/>
                            <w:sz w:val="20"/>
                          </w:rPr>
                        </w:pPr>
                        <w:r w:rsidRPr="00662D84">
                          <w:rPr>
                            <w:rFonts w:ascii="Times New Roman" w:hAnsi="Times New Roman" w:cs="Times New Roman"/>
                            <w:b/>
                            <w:sz w:val="20"/>
                          </w:rPr>
                          <w:t>Liquidity Ratio (LTA)</w:t>
                        </w:r>
                      </w:p>
                      <w:p w:rsidR="00A720C0" w:rsidRDefault="00A720C0" w:rsidP="00B826C4">
                        <w:pPr>
                          <w:pStyle w:val="ListParagraph"/>
                          <w:numPr>
                            <w:ilvl w:val="0"/>
                            <w:numId w:val="19"/>
                          </w:numPr>
                          <w:ind w:left="360" w:hanging="180"/>
                          <w:rPr>
                            <w:rFonts w:ascii="Times New Roman" w:hAnsi="Times New Roman" w:cs="Times New Roman"/>
                            <w:b/>
                            <w:sz w:val="20"/>
                          </w:rPr>
                        </w:pPr>
                        <w:r w:rsidRPr="00662D84">
                          <w:rPr>
                            <w:rFonts w:ascii="Times New Roman" w:hAnsi="Times New Roman" w:cs="Times New Roman"/>
                            <w:b/>
                            <w:sz w:val="20"/>
                          </w:rPr>
                          <w:t>Efficiency Ratio (EXTA)</w:t>
                        </w:r>
                      </w:p>
                      <w:p w:rsidR="00A720C0" w:rsidRDefault="00A720C0" w:rsidP="00B826C4">
                        <w:pPr>
                          <w:pStyle w:val="ListParagraph"/>
                          <w:numPr>
                            <w:ilvl w:val="0"/>
                            <w:numId w:val="19"/>
                          </w:numPr>
                          <w:ind w:left="360" w:hanging="180"/>
                          <w:rPr>
                            <w:rFonts w:ascii="Times New Roman" w:hAnsi="Times New Roman" w:cs="Times New Roman"/>
                            <w:b/>
                            <w:sz w:val="20"/>
                          </w:rPr>
                        </w:pPr>
                        <w:r w:rsidRPr="00662D84">
                          <w:rPr>
                            <w:rFonts w:ascii="Times New Roman" w:hAnsi="Times New Roman" w:cs="Times New Roman"/>
                            <w:b/>
                            <w:sz w:val="20"/>
                          </w:rPr>
                          <w:t>Bank Ownership (OWN)</w:t>
                        </w:r>
                      </w:p>
                      <w:p w:rsidR="00A720C0" w:rsidRPr="00662D84" w:rsidRDefault="00A720C0" w:rsidP="00B826C4">
                        <w:pPr>
                          <w:pStyle w:val="ListParagraph"/>
                          <w:numPr>
                            <w:ilvl w:val="0"/>
                            <w:numId w:val="19"/>
                          </w:numPr>
                          <w:ind w:left="360" w:hanging="180"/>
                          <w:rPr>
                            <w:rFonts w:ascii="Times New Roman" w:hAnsi="Times New Roman" w:cs="Times New Roman"/>
                            <w:b/>
                            <w:sz w:val="20"/>
                          </w:rPr>
                        </w:pPr>
                        <w:r w:rsidRPr="00662D84">
                          <w:rPr>
                            <w:rFonts w:ascii="Times New Roman" w:hAnsi="Times New Roman" w:cs="Times New Roman"/>
                            <w:b/>
                            <w:sz w:val="20"/>
                          </w:rPr>
                          <w:t>Bank Size (LNSIZE)</w:t>
                        </w:r>
                      </w:p>
                      <w:p w:rsidR="00A720C0" w:rsidRPr="004B502E" w:rsidRDefault="00A720C0" w:rsidP="00B826C4">
                        <w:pPr>
                          <w:rPr>
                            <w:rFonts w:ascii="Times New Roman" w:hAnsi="Times New Roman" w:cs="Times New Roman"/>
                          </w:rPr>
                        </w:pPr>
                      </w:p>
                    </w:txbxContent>
                  </v:textbox>
                </v:rect>
                <v:rect id="Rectangle 71" o:spid="_x0000_s1032" style="position:absolute;left:1746;top:6188;width:325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A720C0" w:rsidRDefault="00A720C0" w:rsidP="00B826C4">
                        <w:pPr>
                          <w:spacing w:after="120"/>
                          <w:jc w:val="center"/>
                          <w:rPr>
                            <w:rFonts w:ascii="Times New Roman" w:hAnsi="Times New Roman" w:cs="Times New Roman"/>
                            <w:b/>
                            <w:sz w:val="20"/>
                          </w:rPr>
                        </w:pPr>
                        <w:r w:rsidRPr="0078797A">
                          <w:rPr>
                            <w:rFonts w:ascii="Times New Roman" w:hAnsi="Times New Roman" w:cs="Times New Roman"/>
                            <w:b/>
                            <w:sz w:val="20"/>
                          </w:rPr>
                          <w:t>External Factors:</w:t>
                        </w:r>
                      </w:p>
                      <w:p w:rsidR="00A720C0" w:rsidRDefault="00A720C0" w:rsidP="00B826C4">
                        <w:pPr>
                          <w:pStyle w:val="ListParagraph"/>
                          <w:numPr>
                            <w:ilvl w:val="0"/>
                            <w:numId w:val="20"/>
                          </w:numPr>
                          <w:ind w:left="180" w:hanging="180"/>
                          <w:rPr>
                            <w:rFonts w:ascii="Times New Roman" w:hAnsi="Times New Roman" w:cs="Times New Roman"/>
                            <w:b/>
                            <w:sz w:val="20"/>
                          </w:rPr>
                        </w:pPr>
                        <w:r w:rsidRPr="00662D84">
                          <w:rPr>
                            <w:rFonts w:ascii="Times New Roman" w:hAnsi="Times New Roman" w:cs="Times New Roman"/>
                            <w:b/>
                            <w:sz w:val="20"/>
                          </w:rPr>
                          <w:t xml:space="preserve">Inflation Adjusted Annual Gross Domestic Product (GDP) </w:t>
                        </w:r>
                      </w:p>
                      <w:p w:rsidR="00A720C0" w:rsidRDefault="00A720C0" w:rsidP="00B826C4">
                        <w:pPr>
                          <w:pStyle w:val="ListParagraph"/>
                          <w:numPr>
                            <w:ilvl w:val="0"/>
                            <w:numId w:val="20"/>
                          </w:numPr>
                          <w:ind w:left="180" w:hanging="180"/>
                          <w:rPr>
                            <w:rFonts w:ascii="Times New Roman" w:hAnsi="Times New Roman" w:cs="Times New Roman"/>
                            <w:b/>
                            <w:sz w:val="20"/>
                          </w:rPr>
                        </w:pPr>
                        <w:r w:rsidRPr="00662D84">
                          <w:rPr>
                            <w:rFonts w:ascii="Times New Roman" w:hAnsi="Times New Roman" w:cs="Times New Roman"/>
                            <w:b/>
                            <w:sz w:val="20"/>
                          </w:rPr>
                          <w:t>Inflation Rate (INF)</w:t>
                        </w:r>
                      </w:p>
                      <w:p w:rsidR="00A720C0" w:rsidRDefault="00A720C0" w:rsidP="00B826C4">
                        <w:pPr>
                          <w:pStyle w:val="ListParagraph"/>
                          <w:numPr>
                            <w:ilvl w:val="0"/>
                            <w:numId w:val="20"/>
                          </w:numPr>
                          <w:ind w:left="180" w:hanging="180"/>
                          <w:rPr>
                            <w:rFonts w:ascii="Times New Roman" w:hAnsi="Times New Roman" w:cs="Times New Roman"/>
                            <w:b/>
                            <w:sz w:val="20"/>
                          </w:rPr>
                        </w:pPr>
                        <w:r w:rsidRPr="00662D84">
                          <w:rPr>
                            <w:rFonts w:ascii="Times New Roman" w:hAnsi="Times New Roman" w:cs="Times New Roman"/>
                            <w:b/>
                            <w:sz w:val="20"/>
                          </w:rPr>
                          <w:t>Money Supply (MS)</w:t>
                        </w:r>
                      </w:p>
                      <w:p w:rsidR="00A720C0" w:rsidRPr="00662D84" w:rsidRDefault="00A720C0" w:rsidP="00B826C4">
                        <w:pPr>
                          <w:pStyle w:val="ListParagraph"/>
                          <w:numPr>
                            <w:ilvl w:val="0"/>
                            <w:numId w:val="20"/>
                          </w:numPr>
                          <w:ind w:left="180" w:hanging="180"/>
                          <w:rPr>
                            <w:rFonts w:ascii="Times New Roman" w:hAnsi="Times New Roman" w:cs="Times New Roman"/>
                            <w:b/>
                            <w:sz w:val="20"/>
                          </w:rPr>
                        </w:pPr>
                        <w:r w:rsidRPr="00662D84">
                          <w:rPr>
                            <w:rFonts w:ascii="Times New Roman" w:hAnsi="Times New Roman" w:cs="Times New Roman"/>
                            <w:b/>
                            <w:sz w:val="20"/>
                          </w:rPr>
                          <w:t xml:space="preserve">Taxation Indicator Variable (TAX) </w:t>
                        </w:r>
                      </w:p>
                      <w:p w:rsidR="00A720C0" w:rsidRPr="0078797A" w:rsidRDefault="00A720C0" w:rsidP="00B826C4">
                        <w:pPr>
                          <w:jc w:val="center"/>
                          <w:rPr>
                            <w:rFonts w:ascii="Times New Roman" w:hAnsi="Times New Roman" w:cs="Times New Roman"/>
                            <w:b/>
                            <w:sz w:val="20"/>
                          </w:rPr>
                        </w:pPr>
                      </w:p>
                      <w:p w:rsidR="00A720C0" w:rsidRPr="0078797A" w:rsidRDefault="00A720C0" w:rsidP="00B826C4">
                        <w:pPr>
                          <w:rPr>
                            <w:rFonts w:ascii="Times New Roman" w:hAnsi="Times New Roman" w:cs="Times New Roman"/>
                          </w:rPr>
                        </w:pPr>
                      </w:p>
                      <w:p w:rsidR="00A720C0" w:rsidRDefault="00A720C0" w:rsidP="00B826C4"/>
                      <w:p w:rsidR="00A720C0" w:rsidRPr="0078797A" w:rsidRDefault="00A720C0" w:rsidP="00B826C4">
                        <w:pPr>
                          <w:jc w:val="center"/>
                          <w:rPr>
                            <w:rFonts w:ascii="Times New Roman" w:hAnsi="Times New Roman" w:cs="Times New Roman"/>
                            <w:b/>
                            <w:sz w:val="20"/>
                          </w:rPr>
                        </w:pPr>
                        <w:r w:rsidRPr="0078797A">
                          <w:rPr>
                            <w:rFonts w:ascii="Times New Roman" w:hAnsi="Times New Roman" w:cs="Times New Roman"/>
                            <w:b/>
                            <w:sz w:val="20"/>
                          </w:rPr>
                          <w:t>Performance Indicator:</w:t>
                        </w:r>
                      </w:p>
                      <w:p w:rsidR="00A720C0" w:rsidRPr="00827036" w:rsidRDefault="00A720C0" w:rsidP="00B826C4">
                        <w:pPr>
                          <w:rPr>
                            <w:rFonts w:ascii="Times New Roman" w:hAnsi="Times New Roman" w:cs="Times New Roman"/>
                            <w:b/>
                            <w:sz w:val="20"/>
                          </w:rPr>
                        </w:pPr>
                        <w:r w:rsidRPr="0078797A">
                          <w:rPr>
                            <w:rFonts w:ascii="Times New Roman" w:hAnsi="Times New Roman" w:cs="Times New Roman"/>
                            <w:b/>
                            <w:sz w:val="20"/>
                          </w:rPr>
                          <w:t xml:space="preserve">Return on </w:t>
                        </w:r>
                      </w:p>
                    </w:txbxContent>
                  </v:textbox>
                </v:rect>
                <v:rect id="Rectangle 72" o:spid="_x0000_s1033" style="position:absolute;left:7185;top:5211;width:2718;height:1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A720C0" w:rsidRPr="00827036" w:rsidRDefault="00A720C0" w:rsidP="00B826C4">
                        <w:pPr>
                          <w:jc w:val="center"/>
                          <w:rPr>
                            <w:rFonts w:ascii="Times New Roman" w:hAnsi="Times New Roman" w:cs="Times New Roman"/>
                            <w:b/>
                            <w:sz w:val="20"/>
                          </w:rPr>
                        </w:pPr>
                        <w:r w:rsidRPr="00827036">
                          <w:rPr>
                            <w:rFonts w:ascii="Times New Roman" w:hAnsi="Times New Roman" w:cs="Times New Roman"/>
                            <w:b/>
                            <w:sz w:val="20"/>
                          </w:rPr>
                          <w:t>Performance Indicator:</w:t>
                        </w:r>
                      </w:p>
                      <w:p w:rsidR="00A720C0" w:rsidRPr="0078797A" w:rsidRDefault="00A720C0" w:rsidP="00B826C4">
                        <w:pPr>
                          <w:jc w:val="center"/>
                          <w:rPr>
                            <w:rFonts w:ascii="Times New Roman" w:hAnsi="Times New Roman" w:cs="Times New Roman"/>
                            <w:b/>
                            <w:sz w:val="20"/>
                          </w:rPr>
                        </w:pPr>
                        <w:r w:rsidRPr="00827036">
                          <w:rPr>
                            <w:rFonts w:ascii="Times New Roman" w:hAnsi="Times New Roman" w:cs="Times New Roman"/>
                            <w:b/>
                            <w:sz w:val="20"/>
                          </w:rPr>
                          <w:t xml:space="preserve">Return on </w:t>
                        </w:r>
                        <w:r w:rsidRPr="0078797A">
                          <w:rPr>
                            <w:rFonts w:ascii="Times New Roman" w:hAnsi="Times New Roman" w:cs="Times New Roman"/>
                            <w:b/>
                            <w:sz w:val="20"/>
                          </w:rPr>
                          <w:t>Assets (ROA)</w:t>
                        </w:r>
                      </w:p>
                      <w:p w:rsidR="00A720C0" w:rsidRPr="0078797A" w:rsidRDefault="00A720C0" w:rsidP="00B826C4">
                        <w:pPr>
                          <w:jc w:val="center"/>
                          <w:rPr>
                            <w:rFonts w:ascii="Times New Roman" w:hAnsi="Times New Roman" w:cs="Times New Roman"/>
                            <w:b/>
                            <w:sz w:val="20"/>
                          </w:rPr>
                        </w:pPr>
                      </w:p>
                      <w:p w:rsidR="00A720C0" w:rsidRPr="0078797A" w:rsidRDefault="00A720C0" w:rsidP="00B826C4">
                        <w:pPr>
                          <w:rPr>
                            <w:rFonts w:ascii="Times New Roman" w:hAnsi="Times New Roman" w:cs="Times New Roman"/>
                          </w:rPr>
                        </w:pPr>
                      </w:p>
                    </w:txbxContent>
                  </v:textbox>
                </v:rect>
                <v:rect id="Rectangle 73" o:spid="_x0000_s1034" style="position:absolute;left:5304;top:6648;width:2332;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A720C0" w:rsidRDefault="00A720C0" w:rsidP="00B826C4">
                        <w:pPr>
                          <w:pStyle w:val="ListParagraph"/>
                          <w:numPr>
                            <w:ilvl w:val="0"/>
                            <w:numId w:val="21"/>
                          </w:numPr>
                          <w:ind w:left="180" w:hanging="180"/>
                          <w:rPr>
                            <w:rFonts w:ascii="Times New Roman" w:hAnsi="Times New Roman" w:cs="Times New Roman"/>
                            <w:b/>
                            <w:sz w:val="20"/>
                          </w:rPr>
                        </w:pPr>
                        <w:r w:rsidRPr="00662D84">
                          <w:rPr>
                            <w:rFonts w:ascii="Times New Roman" w:hAnsi="Times New Roman" w:cs="Times New Roman"/>
                            <w:b/>
                            <w:sz w:val="20"/>
                          </w:rPr>
                          <w:t>Bank</w:t>
                        </w:r>
                        <w:r w:rsidRPr="00EF0829">
                          <w:rPr>
                            <w:rFonts w:ascii="Times New Roman" w:hAnsi="Times New Roman" w:cs="Times New Roman"/>
                            <w:b/>
                            <w:sz w:val="20"/>
                          </w:rPr>
                          <w:t xml:space="preserve"> </w:t>
                        </w:r>
                        <w:r w:rsidRPr="00662D84">
                          <w:rPr>
                            <w:rFonts w:ascii="Times New Roman" w:hAnsi="Times New Roman" w:cs="Times New Roman"/>
                            <w:b/>
                            <w:sz w:val="20"/>
                          </w:rPr>
                          <w:t>Maturity</w:t>
                        </w:r>
                        <w:r>
                          <w:rPr>
                            <w:rFonts w:ascii="Times New Roman" w:hAnsi="Times New Roman" w:cs="Times New Roman"/>
                            <w:b/>
                            <w:sz w:val="20"/>
                          </w:rPr>
                          <w:t xml:space="preserve"> (</w:t>
                        </w:r>
                        <w:r w:rsidRPr="00662D84">
                          <w:rPr>
                            <w:rFonts w:ascii="Times New Roman" w:hAnsi="Times New Roman" w:cs="Times New Roman"/>
                            <w:b/>
                            <w:sz w:val="20"/>
                          </w:rPr>
                          <w:t>AGE)</w:t>
                        </w:r>
                      </w:p>
                      <w:p w:rsidR="00A720C0" w:rsidRDefault="00A720C0" w:rsidP="00B826C4">
                        <w:pPr>
                          <w:pStyle w:val="ListParagraph"/>
                          <w:numPr>
                            <w:ilvl w:val="0"/>
                            <w:numId w:val="21"/>
                          </w:numPr>
                          <w:ind w:left="180" w:hanging="180"/>
                          <w:rPr>
                            <w:rFonts w:ascii="Times New Roman" w:hAnsi="Times New Roman" w:cs="Times New Roman"/>
                            <w:b/>
                            <w:sz w:val="20"/>
                          </w:rPr>
                        </w:pPr>
                        <w:r w:rsidRPr="00662D84">
                          <w:rPr>
                            <w:rFonts w:ascii="Times New Roman" w:hAnsi="Times New Roman" w:cs="Times New Roman"/>
                            <w:b/>
                            <w:sz w:val="20"/>
                          </w:rPr>
                          <w:t>Financial Crisis (Crisis</w:t>
                        </w:r>
                        <w:r>
                          <w:rPr>
                            <w:rFonts w:ascii="Times New Roman" w:hAnsi="Times New Roman" w:cs="Times New Roman"/>
                            <w:b/>
                            <w:sz w:val="20"/>
                          </w:rPr>
                          <w:t xml:space="preserve"> </w:t>
                        </w:r>
                        <w:r w:rsidRPr="00662D84">
                          <w:rPr>
                            <w:rFonts w:ascii="Times New Roman" w:hAnsi="Times New Roman" w:cs="Times New Roman"/>
                            <w:b/>
                            <w:sz w:val="20"/>
                          </w:rPr>
                          <w:t>2008)</w:t>
                        </w:r>
                      </w:p>
                      <w:p w:rsidR="00A720C0" w:rsidRPr="00662D84" w:rsidRDefault="00A720C0" w:rsidP="00B826C4">
                        <w:pPr>
                          <w:pStyle w:val="ListParagraph"/>
                          <w:ind w:left="180"/>
                          <w:rPr>
                            <w:rFonts w:ascii="Times New Roman" w:hAnsi="Times New Roman" w:cs="Times New Roman"/>
                            <w:b/>
                            <w:sz w:val="20"/>
                          </w:rPr>
                        </w:pPr>
                      </w:p>
                      <w:p w:rsidR="00A720C0" w:rsidRPr="0078797A" w:rsidRDefault="00A720C0" w:rsidP="00B826C4">
                        <w:pPr>
                          <w:jc w:val="center"/>
                          <w:rPr>
                            <w:rFonts w:ascii="Times New Roman" w:hAnsi="Times New Roman" w:cs="Times New Roman"/>
                            <w:b/>
                            <w:sz w:val="20"/>
                          </w:rPr>
                        </w:pPr>
                      </w:p>
                      <w:p w:rsidR="00A720C0" w:rsidRPr="0078797A" w:rsidRDefault="00A720C0" w:rsidP="00B826C4">
                        <w:pPr>
                          <w:rPr>
                            <w:rFonts w:ascii="Times New Roman" w:hAnsi="Times New Roman" w:cs="Times New Roman"/>
                          </w:rPr>
                        </w:pPr>
                      </w:p>
                    </w:txbxContent>
                  </v:textbox>
                </v:rect>
              </v:group>
            </w:pict>
          </mc:Fallback>
        </mc:AlternateContent>
      </w:r>
    </w:p>
    <w:p w:rsidR="00B826C4" w:rsidRDefault="00B826C4" w:rsidP="0047701A">
      <w:pPr>
        <w:spacing w:line="480" w:lineRule="auto"/>
        <w:ind w:firstLine="720"/>
        <w:rPr>
          <w:rFonts w:ascii="Times New Roman" w:hAnsi="Times New Roman" w:cs="Times New Roman"/>
          <w:sz w:val="24"/>
          <w:szCs w:val="24"/>
        </w:rPr>
      </w:pPr>
    </w:p>
    <w:p w:rsidR="00B826C4" w:rsidRDefault="00B826C4" w:rsidP="0047701A">
      <w:pPr>
        <w:spacing w:line="480" w:lineRule="auto"/>
        <w:ind w:firstLine="720"/>
        <w:rPr>
          <w:rFonts w:ascii="Times New Roman" w:hAnsi="Times New Roman" w:cs="Times New Roman"/>
          <w:sz w:val="24"/>
          <w:szCs w:val="24"/>
        </w:rPr>
      </w:pPr>
    </w:p>
    <w:p w:rsidR="00B826C4" w:rsidRDefault="00B826C4" w:rsidP="0047701A">
      <w:pPr>
        <w:spacing w:line="480" w:lineRule="auto"/>
        <w:ind w:firstLine="720"/>
        <w:rPr>
          <w:rFonts w:ascii="Times New Roman" w:hAnsi="Times New Roman" w:cs="Times New Roman"/>
          <w:sz w:val="24"/>
          <w:szCs w:val="24"/>
        </w:rPr>
      </w:pPr>
    </w:p>
    <w:p w:rsidR="00B826C4" w:rsidRDefault="00B826C4" w:rsidP="0047701A">
      <w:pPr>
        <w:spacing w:line="480" w:lineRule="auto"/>
        <w:ind w:firstLine="720"/>
        <w:rPr>
          <w:rFonts w:ascii="Times New Roman" w:hAnsi="Times New Roman" w:cs="Times New Roman"/>
          <w:sz w:val="24"/>
          <w:szCs w:val="24"/>
        </w:rPr>
      </w:pPr>
    </w:p>
    <w:p w:rsidR="00B826C4" w:rsidRDefault="00B826C4" w:rsidP="0047701A">
      <w:pPr>
        <w:spacing w:line="480" w:lineRule="auto"/>
        <w:ind w:firstLine="720"/>
        <w:rPr>
          <w:rFonts w:ascii="Times New Roman" w:hAnsi="Times New Roman" w:cs="Times New Roman"/>
          <w:sz w:val="24"/>
          <w:szCs w:val="24"/>
        </w:rPr>
      </w:pPr>
    </w:p>
    <w:p w:rsidR="00B826C4" w:rsidRDefault="00B826C4" w:rsidP="0047701A">
      <w:pPr>
        <w:spacing w:line="480" w:lineRule="auto"/>
        <w:ind w:firstLine="720"/>
        <w:rPr>
          <w:rFonts w:ascii="Times New Roman" w:hAnsi="Times New Roman" w:cs="Times New Roman"/>
          <w:sz w:val="24"/>
          <w:szCs w:val="24"/>
        </w:rPr>
      </w:pPr>
    </w:p>
    <w:p w:rsidR="00B826C4" w:rsidRDefault="00B826C4" w:rsidP="0047701A">
      <w:pPr>
        <w:spacing w:line="480" w:lineRule="auto"/>
        <w:ind w:firstLine="720"/>
        <w:rPr>
          <w:rFonts w:ascii="Times New Roman" w:hAnsi="Times New Roman" w:cs="Times New Roman"/>
          <w:sz w:val="24"/>
          <w:szCs w:val="24"/>
        </w:rPr>
      </w:pPr>
    </w:p>
    <w:p w:rsidR="00B826C4" w:rsidRDefault="00B826C4" w:rsidP="008E3F2C">
      <w:pPr>
        <w:spacing w:line="480" w:lineRule="auto"/>
        <w:ind w:firstLine="720"/>
        <w:rPr>
          <w:rFonts w:ascii="Times New Roman" w:hAnsi="Times New Roman" w:cs="Times New Roman"/>
          <w:sz w:val="24"/>
          <w:szCs w:val="24"/>
        </w:rPr>
      </w:pPr>
    </w:p>
    <w:p w:rsidR="00952014" w:rsidRDefault="00BD193A" w:rsidP="008E3F2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is a gap is I</w:t>
      </w:r>
      <w:r w:rsidRPr="00BD193A">
        <w:rPr>
          <w:rFonts w:ascii="Times New Roman" w:hAnsi="Times New Roman" w:cs="Times New Roman"/>
          <w:sz w:val="24"/>
          <w:szCs w:val="24"/>
        </w:rPr>
        <w:t>slamic banking related litera</w:t>
      </w:r>
      <w:r>
        <w:rPr>
          <w:rFonts w:ascii="Times New Roman" w:hAnsi="Times New Roman" w:cs="Times New Roman"/>
          <w:sz w:val="24"/>
          <w:szCs w:val="24"/>
        </w:rPr>
        <w:t>ture with regard</w:t>
      </w:r>
      <w:r w:rsidRPr="00BD193A">
        <w:rPr>
          <w:rFonts w:ascii="Times New Roman" w:hAnsi="Times New Roman" w:cs="Times New Roman"/>
          <w:sz w:val="24"/>
          <w:szCs w:val="24"/>
        </w:rPr>
        <w:t xml:space="preserve"> to the profitability studies: few prof</w:t>
      </w:r>
      <w:r>
        <w:rPr>
          <w:rFonts w:ascii="Times New Roman" w:hAnsi="Times New Roman" w:cs="Times New Roman"/>
          <w:sz w:val="24"/>
          <w:szCs w:val="24"/>
        </w:rPr>
        <w:t>itability studies were conducted on I</w:t>
      </w:r>
      <w:r w:rsidRPr="00BD193A">
        <w:rPr>
          <w:rFonts w:ascii="Times New Roman" w:hAnsi="Times New Roman" w:cs="Times New Roman"/>
          <w:sz w:val="24"/>
          <w:szCs w:val="24"/>
        </w:rPr>
        <w:t>slamic banks compared with conventional banks. The findings obtained from profitability studies conducted on conventiona</w:t>
      </w:r>
      <w:r>
        <w:rPr>
          <w:rFonts w:ascii="Times New Roman" w:hAnsi="Times New Roman" w:cs="Times New Roman"/>
          <w:sz w:val="24"/>
          <w:szCs w:val="24"/>
        </w:rPr>
        <w:t>l banks could not be applied to I</w:t>
      </w:r>
      <w:r w:rsidRPr="00BD193A">
        <w:rPr>
          <w:rFonts w:ascii="Times New Roman" w:hAnsi="Times New Roman" w:cs="Times New Roman"/>
          <w:sz w:val="24"/>
          <w:szCs w:val="24"/>
        </w:rPr>
        <w:t xml:space="preserve">slamic banks </w:t>
      </w:r>
      <w:r>
        <w:rPr>
          <w:rFonts w:ascii="Times New Roman" w:hAnsi="Times New Roman" w:cs="Times New Roman"/>
          <w:sz w:val="24"/>
          <w:szCs w:val="24"/>
        </w:rPr>
        <w:t xml:space="preserve">due to </w:t>
      </w:r>
      <w:r w:rsidRPr="00BD193A">
        <w:rPr>
          <w:rFonts w:ascii="Times New Roman" w:hAnsi="Times New Roman" w:cs="Times New Roman"/>
          <w:sz w:val="24"/>
          <w:szCs w:val="24"/>
        </w:rPr>
        <w:t>the o</w:t>
      </w:r>
      <w:r>
        <w:rPr>
          <w:rFonts w:ascii="Times New Roman" w:hAnsi="Times New Roman" w:cs="Times New Roman"/>
          <w:sz w:val="24"/>
          <w:szCs w:val="24"/>
        </w:rPr>
        <w:t>perational differences between I</w:t>
      </w:r>
      <w:r w:rsidRPr="00BD193A">
        <w:rPr>
          <w:rFonts w:ascii="Times New Roman" w:hAnsi="Times New Roman" w:cs="Times New Roman"/>
          <w:sz w:val="24"/>
          <w:szCs w:val="24"/>
        </w:rPr>
        <w:t>slamic and conventional bank.</w:t>
      </w:r>
      <w:r>
        <w:rPr>
          <w:rFonts w:ascii="Times New Roman" w:hAnsi="Times New Roman" w:cs="Times New Roman"/>
          <w:sz w:val="24"/>
          <w:szCs w:val="24"/>
        </w:rPr>
        <w:t xml:space="preserve"> </w:t>
      </w:r>
      <w:r w:rsidR="005F0978" w:rsidRPr="004B502E">
        <w:rPr>
          <w:rFonts w:ascii="Times New Roman" w:hAnsi="Times New Roman" w:cs="Times New Roman"/>
          <w:sz w:val="24"/>
          <w:szCs w:val="24"/>
        </w:rPr>
        <w:t xml:space="preserve">The theoretical implications of this study </w:t>
      </w:r>
      <w:r w:rsidR="00742CEE">
        <w:rPr>
          <w:rFonts w:ascii="Times New Roman" w:hAnsi="Times New Roman" w:cs="Times New Roman"/>
          <w:sz w:val="24"/>
          <w:szCs w:val="24"/>
        </w:rPr>
        <w:t>may</w:t>
      </w:r>
      <w:r w:rsidR="005F0978" w:rsidRPr="004B502E">
        <w:rPr>
          <w:rFonts w:ascii="Times New Roman" w:hAnsi="Times New Roman" w:cs="Times New Roman"/>
          <w:sz w:val="24"/>
          <w:szCs w:val="24"/>
        </w:rPr>
        <w:t xml:space="preserve"> fill the</w:t>
      </w:r>
      <w:r w:rsidR="000404BD">
        <w:rPr>
          <w:rFonts w:ascii="Times New Roman" w:hAnsi="Times New Roman" w:cs="Times New Roman"/>
          <w:sz w:val="24"/>
          <w:szCs w:val="24"/>
        </w:rPr>
        <w:t xml:space="preserve"> abovementioned</w:t>
      </w:r>
      <w:r w:rsidR="005F0978" w:rsidRPr="004B502E">
        <w:rPr>
          <w:rFonts w:ascii="Times New Roman" w:hAnsi="Times New Roman" w:cs="Times New Roman"/>
          <w:sz w:val="24"/>
          <w:szCs w:val="24"/>
        </w:rPr>
        <w:t xml:space="preserve"> gap in Islamic banking related literature by </w:t>
      </w:r>
      <w:r w:rsidR="00F65BC1">
        <w:rPr>
          <w:rFonts w:ascii="Times New Roman" w:hAnsi="Times New Roman" w:cs="Times New Roman"/>
          <w:sz w:val="24"/>
          <w:szCs w:val="24"/>
        </w:rPr>
        <w:t xml:space="preserve">analyzing the </w:t>
      </w:r>
      <w:r w:rsidR="005F0978" w:rsidRPr="004B502E">
        <w:rPr>
          <w:rFonts w:ascii="Times New Roman" w:hAnsi="Times New Roman" w:cs="Times New Roman"/>
          <w:sz w:val="24"/>
          <w:szCs w:val="24"/>
        </w:rPr>
        <w:t xml:space="preserve">effect of internal and external factors on the performance of Malaysian </w:t>
      </w:r>
      <w:r w:rsidR="00852351">
        <w:rPr>
          <w:rFonts w:ascii="Times New Roman" w:hAnsi="Times New Roman" w:cs="Times New Roman"/>
          <w:sz w:val="24"/>
          <w:szCs w:val="24"/>
        </w:rPr>
        <w:t>Islamic banks</w:t>
      </w:r>
      <w:r w:rsidR="005F0978" w:rsidRPr="004B502E">
        <w:rPr>
          <w:rFonts w:ascii="Times New Roman" w:hAnsi="Times New Roman" w:cs="Times New Roman"/>
          <w:sz w:val="24"/>
          <w:szCs w:val="24"/>
        </w:rPr>
        <w:t xml:space="preserve"> </w:t>
      </w:r>
      <w:r w:rsidR="00F65BC1">
        <w:rPr>
          <w:rFonts w:ascii="Times New Roman" w:hAnsi="Times New Roman" w:cs="Times New Roman"/>
          <w:sz w:val="24"/>
          <w:szCs w:val="24"/>
        </w:rPr>
        <w:t xml:space="preserve">and by examining the robustness of this effect </w:t>
      </w:r>
      <w:r w:rsidR="005F0978" w:rsidRPr="004B502E">
        <w:rPr>
          <w:rFonts w:ascii="Times New Roman" w:hAnsi="Times New Roman" w:cs="Times New Roman"/>
          <w:sz w:val="24"/>
          <w:szCs w:val="24"/>
        </w:rPr>
        <w:t xml:space="preserve">by </w:t>
      </w:r>
      <w:r w:rsidR="00742CEE">
        <w:rPr>
          <w:rFonts w:ascii="Times New Roman" w:hAnsi="Times New Roman" w:cs="Times New Roman"/>
          <w:sz w:val="24"/>
          <w:szCs w:val="24"/>
        </w:rPr>
        <w:t>us</w:t>
      </w:r>
      <w:r w:rsidR="00742CEE" w:rsidRPr="004B502E">
        <w:rPr>
          <w:rFonts w:ascii="Times New Roman" w:hAnsi="Times New Roman" w:cs="Times New Roman"/>
          <w:sz w:val="24"/>
          <w:szCs w:val="24"/>
        </w:rPr>
        <w:t xml:space="preserve">ing </w:t>
      </w:r>
      <w:r w:rsidR="005F0978" w:rsidRPr="004B502E">
        <w:rPr>
          <w:rFonts w:ascii="Times New Roman" w:hAnsi="Times New Roman" w:cs="Times New Roman"/>
          <w:sz w:val="24"/>
          <w:szCs w:val="24"/>
        </w:rPr>
        <w:t xml:space="preserve">an </w:t>
      </w:r>
      <w:r w:rsidR="00EE72D5" w:rsidRPr="004B502E">
        <w:rPr>
          <w:rFonts w:ascii="Times New Roman" w:hAnsi="Times New Roman" w:cs="Times New Roman"/>
          <w:sz w:val="24"/>
          <w:szCs w:val="24"/>
        </w:rPr>
        <w:t>update</w:t>
      </w:r>
      <w:r w:rsidR="00742CEE">
        <w:rPr>
          <w:rFonts w:ascii="Times New Roman" w:hAnsi="Times New Roman" w:cs="Times New Roman"/>
          <w:sz w:val="24"/>
          <w:szCs w:val="24"/>
        </w:rPr>
        <w:t>d</w:t>
      </w:r>
      <w:r w:rsidR="00EE72D5" w:rsidRPr="004B502E">
        <w:rPr>
          <w:rFonts w:ascii="Times New Roman" w:hAnsi="Times New Roman" w:cs="Times New Roman"/>
          <w:sz w:val="24"/>
          <w:szCs w:val="24"/>
        </w:rPr>
        <w:t xml:space="preserve"> data set.</w:t>
      </w:r>
      <w:r w:rsidR="00F65BC1">
        <w:rPr>
          <w:rFonts w:ascii="Times New Roman" w:hAnsi="Times New Roman" w:cs="Times New Roman"/>
          <w:sz w:val="24"/>
          <w:szCs w:val="24"/>
        </w:rPr>
        <w:t xml:space="preserve"> </w:t>
      </w:r>
      <w:bookmarkEnd w:id="7"/>
      <w:r w:rsidR="00147551" w:rsidRPr="004B502E">
        <w:rPr>
          <w:rFonts w:ascii="Times New Roman" w:hAnsi="Times New Roman" w:cs="Times New Roman"/>
          <w:sz w:val="24"/>
          <w:szCs w:val="24"/>
        </w:rPr>
        <w:t xml:space="preserve">From </w:t>
      </w:r>
      <w:r w:rsidR="00A05417" w:rsidRPr="004B502E">
        <w:rPr>
          <w:rFonts w:ascii="Times New Roman" w:hAnsi="Times New Roman" w:cs="Times New Roman"/>
          <w:sz w:val="24"/>
          <w:szCs w:val="24"/>
        </w:rPr>
        <w:t xml:space="preserve">a </w:t>
      </w:r>
      <w:r w:rsidR="00147551" w:rsidRPr="004B502E">
        <w:rPr>
          <w:rFonts w:ascii="Times New Roman" w:hAnsi="Times New Roman" w:cs="Times New Roman"/>
          <w:sz w:val="24"/>
          <w:szCs w:val="24"/>
        </w:rPr>
        <w:t xml:space="preserve">practical point of </w:t>
      </w:r>
      <w:r w:rsidR="00960E26" w:rsidRPr="004B502E">
        <w:rPr>
          <w:rFonts w:ascii="Times New Roman" w:hAnsi="Times New Roman" w:cs="Times New Roman"/>
          <w:sz w:val="24"/>
          <w:szCs w:val="24"/>
        </w:rPr>
        <w:t>view, the</w:t>
      </w:r>
      <w:r w:rsidR="00FE1B61" w:rsidRPr="004B502E">
        <w:rPr>
          <w:rFonts w:ascii="Times New Roman" w:hAnsi="Times New Roman" w:cs="Times New Roman"/>
          <w:sz w:val="24"/>
          <w:szCs w:val="24"/>
        </w:rPr>
        <w:t xml:space="preserve"> </w:t>
      </w:r>
      <w:r w:rsidR="00147551" w:rsidRPr="004B502E">
        <w:rPr>
          <w:rFonts w:ascii="Times New Roman" w:hAnsi="Times New Roman" w:cs="Times New Roman"/>
          <w:sz w:val="24"/>
          <w:szCs w:val="24"/>
        </w:rPr>
        <w:t>findings</w:t>
      </w:r>
      <w:r w:rsidR="00FE1B61" w:rsidRPr="004B502E">
        <w:rPr>
          <w:rFonts w:ascii="Times New Roman" w:hAnsi="Times New Roman" w:cs="Times New Roman"/>
          <w:sz w:val="24"/>
          <w:szCs w:val="24"/>
        </w:rPr>
        <w:t xml:space="preserve"> of this study could be used </w:t>
      </w:r>
      <w:r w:rsidR="00DC623F">
        <w:rPr>
          <w:rFonts w:ascii="Times New Roman" w:hAnsi="Times New Roman" w:cs="Times New Roman"/>
          <w:sz w:val="24"/>
          <w:szCs w:val="24"/>
        </w:rPr>
        <w:t>to</w:t>
      </w:r>
      <w:r w:rsidR="00DC623F" w:rsidRPr="004B502E">
        <w:rPr>
          <w:rFonts w:ascii="Times New Roman" w:hAnsi="Times New Roman" w:cs="Times New Roman"/>
          <w:sz w:val="24"/>
          <w:szCs w:val="24"/>
        </w:rPr>
        <w:t xml:space="preserve"> increas</w:t>
      </w:r>
      <w:r w:rsidR="00DC623F">
        <w:rPr>
          <w:rFonts w:ascii="Times New Roman" w:hAnsi="Times New Roman" w:cs="Times New Roman"/>
          <w:sz w:val="24"/>
          <w:szCs w:val="24"/>
        </w:rPr>
        <w:t>e</w:t>
      </w:r>
      <w:r w:rsidR="00DC623F" w:rsidRPr="004B502E">
        <w:rPr>
          <w:rFonts w:ascii="Times New Roman" w:hAnsi="Times New Roman" w:cs="Times New Roman"/>
          <w:sz w:val="24"/>
          <w:szCs w:val="24"/>
        </w:rPr>
        <w:t xml:space="preserve"> </w:t>
      </w:r>
      <w:r w:rsidR="00147551" w:rsidRPr="004B502E">
        <w:rPr>
          <w:rFonts w:ascii="Times New Roman" w:hAnsi="Times New Roman" w:cs="Times New Roman"/>
          <w:sz w:val="24"/>
          <w:szCs w:val="24"/>
        </w:rPr>
        <w:t xml:space="preserve">the profitability of </w:t>
      </w:r>
      <w:r w:rsidR="00852351">
        <w:rPr>
          <w:rFonts w:ascii="Times New Roman" w:hAnsi="Times New Roman" w:cs="Times New Roman"/>
          <w:sz w:val="24"/>
          <w:szCs w:val="24"/>
        </w:rPr>
        <w:t>Islamic banks</w:t>
      </w:r>
      <w:r w:rsidR="00FE1B61" w:rsidRPr="004B502E">
        <w:rPr>
          <w:rFonts w:ascii="Times New Roman" w:hAnsi="Times New Roman" w:cs="Times New Roman"/>
          <w:sz w:val="24"/>
          <w:szCs w:val="24"/>
        </w:rPr>
        <w:t xml:space="preserve"> not only in </w:t>
      </w:r>
      <w:r w:rsidR="00DC623F">
        <w:rPr>
          <w:rFonts w:ascii="Times New Roman" w:hAnsi="Times New Roman" w:cs="Times New Roman"/>
          <w:sz w:val="24"/>
          <w:szCs w:val="24"/>
        </w:rPr>
        <w:t>Malaysia</w:t>
      </w:r>
      <w:r w:rsidR="00147551" w:rsidRPr="004B502E">
        <w:rPr>
          <w:rFonts w:ascii="Times New Roman" w:hAnsi="Times New Roman" w:cs="Times New Roman"/>
          <w:sz w:val="24"/>
          <w:szCs w:val="24"/>
        </w:rPr>
        <w:t xml:space="preserve">, but also in other regions. </w:t>
      </w:r>
      <w:r w:rsidR="00FE1B61" w:rsidRPr="004B502E">
        <w:rPr>
          <w:rFonts w:ascii="Times New Roman" w:hAnsi="Times New Roman" w:cs="Times New Roman"/>
          <w:sz w:val="24"/>
          <w:szCs w:val="24"/>
        </w:rPr>
        <w:t xml:space="preserve">Managers of Islamic </w:t>
      </w:r>
      <w:r w:rsidR="00DC623F">
        <w:rPr>
          <w:rFonts w:ascii="Times New Roman" w:hAnsi="Times New Roman" w:cs="Times New Roman"/>
          <w:sz w:val="24"/>
          <w:szCs w:val="24"/>
        </w:rPr>
        <w:t>b</w:t>
      </w:r>
      <w:r w:rsidR="00DC623F" w:rsidRPr="004B502E">
        <w:rPr>
          <w:rFonts w:ascii="Times New Roman" w:hAnsi="Times New Roman" w:cs="Times New Roman"/>
          <w:sz w:val="24"/>
          <w:szCs w:val="24"/>
        </w:rPr>
        <w:t>anks</w:t>
      </w:r>
      <w:r w:rsidR="00FE1B61" w:rsidRPr="004B502E">
        <w:rPr>
          <w:rFonts w:ascii="Times New Roman" w:hAnsi="Times New Roman" w:cs="Times New Roman"/>
          <w:sz w:val="24"/>
          <w:szCs w:val="24"/>
        </w:rPr>
        <w:t>, by knowing the</w:t>
      </w:r>
      <w:r w:rsidR="00EE72D5" w:rsidRPr="004B502E">
        <w:rPr>
          <w:rFonts w:ascii="Times New Roman" w:hAnsi="Times New Roman" w:cs="Times New Roman"/>
          <w:sz w:val="24"/>
          <w:szCs w:val="24"/>
        </w:rPr>
        <w:t xml:space="preserve"> factors</w:t>
      </w:r>
      <w:r w:rsidR="00FE1B61" w:rsidRPr="004B502E">
        <w:rPr>
          <w:rFonts w:ascii="Times New Roman" w:hAnsi="Times New Roman" w:cs="Times New Roman"/>
          <w:sz w:val="24"/>
          <w:szCs w:val="24"/>
        </w:rPr>
        <w:t xml:space="preserve"> and </w:t>
      </w:r>
      <w:r w:rsidR="00DC623F">
        <w:rPr>
          <w:rFonts w:ascii="Times New Roman" w:hAnsi="Times New Roman" w:cs="Times New Roman"/>
          <w:sz w:val="24"/>
          <w:szCs w:val="24"/>
        </w:rPr>
        <w:t>how</w:t>
      </w:r>
      <w:r w:rsidR="00FE1B61" w:rsidRPr="004B502E">
        <w:rPr>
          <w:rFonts w:ascii="Times New Roman" w:hAnsi="Times New Roman" w:cs="Times New Roman"/>
          <w:sz w:val="24"/>
          <w:szCs w:val="24"/>
        </w:rPr>
        <w:t xml:space="preserve"> they affect the performance of </w:t>
      </w:r>
      <w:r w:rsidR="00DC623F">
        <w:rPr>
          <w:rFonts w:ascii="Times New Roman" w:hAnsi="Times New Roman" w:cs="Times New Roman"/>
          <w:sz w:val="24"/>
          <w:szCs w:val="24"/>
        </w:rPr>
        <w:t>their</w:t>
      </w:r>
      <w:r w:rsidR="00DC623F" w:rsidRPr="004B502E">
        <w:rPr>
          <w:rFonts w:ascii="Times New Roman" w:hAnsi="Times New Roman" w:cs="Times New Roman"/>
          <w:sz w:val="24"/>
          <w:szCs w:val="24"/>
        </w:rPr>
        <w:t xml:space="preserve"> </w:t>
      </w:r>
      <w:r w:rsidR="00FE1B61" w:rsidRPr="004B502E">
        <w:rPr>
          <w:rFonts w:ascii="Times New Roman" w:hAnsi="Times New Roman" w:cs="Times New Roman"/>
          <w:sz w:val="24"/>
          <w:szCs w:val="24"/>
        </w:rPr>
        <w:t xml:space="preserve">banks, would </w:t>
      </w:r>
      <w:r w:rsidR="003B7586" w:rsidRPr="004B502E">
        <w:rPr>
          <w:rFonts w:ascii="Times New Roman" w:hAnsi="Times New Roman" w:cs="Times New Roman"/>
          <w:sz w:val="24"/>
          <w:szCs w:val="24"/>
        </w:rPr>
        <w:t xml:space="preserve">be able to </w:t>
      </w:r>
      <w:r w:rsidR="00B01F62">
        <w:rPr>
          <w:rFonts w:ascii="Times New Roman" w:hAnsi="Times New Roman" w:cs="Times New Roman"/>
          <w:sz w:val="24"/>
          <w:szCs w:val="24"/>
        </w:rPr>
        <w:t>change</w:t>
      </w:r>
      <w:r w:rsidR="00FE1B61" w:rsidRPr="004B502E">
        <w:rPr>
          <w:rFonts w:ascii="Times New Roman" w:hAnsi="Times New Roman" w:cs="Times New Roman"/>
          <w:sz w:val="24"/>
          <w:szCs w:val="24"/>
        </w:rPr>
        <w:t xml:space="preserve"> </w:t>
      </w:r>
      <w:r w:rsidR="00EE72D5" w:rsidRPr="004B502E">
        <w:rPr>
          <w:rFonts w:ascii="Times New Roman" w:hAnsi="Times New Roman" w:cs="Times New Roman"/>
          <w:sz w:val="24"/>
          <w:szCs w:val="24"/>
        </w:rPr>
        <w:t>internal factors</w:t>
      </w:r>
      <w:r w:rsidR="00960E26" w:rsidRPr="004B502E">
        <w:rPr>
          <w:rFonts w:ascii="Times New Roman" w:hAnsi="Times New Roman" w:cs="Times New Roman"/>
          <w:sz w:val="24"/>
          <w:szCs w:val="24"/>
        </w:rPr>
        <w:t xml:space="preserve"> f</w:t>
      </w:r>
      <w:r w:rsidR="003120AE">
        <w:rPr>
          <w:rFonts w:ascii="Times New Roman" w:hAnsi="Times New Roman" w:cs="Times New Roman"/>
          <w:sz w:val="24"/>
          <w:szCs w:val="24"/>
        </w:rPr>
        <w:t xml:space="preserve">or </w:t>
      </w:r>
      <w:r w:rsidR="00DC623F">
        <w:rPr>
          <w:rFonts w:ascii="Times New Roman" w:hAnsi="Times New Roman" w:cs="Times New Roman"/>
          <w:sz w:val="24"/>
          <w:szCs w:val="24"/>
        </w:rPr>
        <w:t xml:space="preserve">increased </w:t>
      </w:r>
      <w:r w:rsidR="003120AE">
        <w:rPr>
          <w:rFonts w:ascii="Times New Roman" w:hAnsi="Times New Roman" w:cs="Times New Roman"/>
          <w:sz w:val="24"/>
          <w:szCs w:val="24"/>
        </w:rPr>
        <w:t xml:space="preserve">profits. Furthermore, they would be able </w:t>
      </w:r>
      <w:r w:rsidR="003B7586" w:rsidRPr="004B502E">
        <w:rPr>
          <w:rFonts w:ascii="Times New Roman" w:hAnsi="Times New Roman" w:cs="Times New Roman"/>
          <w:sz w:val="24"/>
          <w:szCs w:val="24"/>
        </w:rPr>
        <w:t>to</w:t>
      </w:r>
      <w:r w:rsidR="00960E26" w:rsidRPr="004B502E">
        <w:rPr>
          <w:rFonts w:ascii="Times New Roman" w:hAnsi="Times New Roman" w:cs="Times New Roman"/>
          <w:sz w:val="24"/>
          <w:szCs w:val="24"/>
        </w:rPr>
        <w:t xml:space="preserve"> make changes </w:t>
      </w:r>
      <w:r w:rsidR="00DC623F">
        <w:rPr>
          <w:rFonts w:ascii="Times New Roman" w:hAnsi="Times New Roman" w:cs="Times New Roman"/>
          <w:sz w:val="24"/>
          <w:szCs w:val="24"/>
        </w:rPr>
        <w:t>to</w:t>
      </w:r>
      <w:r w:rsidR="00DC623F" w:rsidRPr="004B502E">
        <w:rPr>
          <w:rFonts w:ascii="Times New Roman" w:hAnsi="Times New Roman" w:cs="Times New Roman"/>
          <w:sz w:val="24"/>
          <w:szCs w:val="24"/>
        </w:rPr>
        <w:t xml:space="preserve"> </w:t>
      </w:r>
      <w:r w:rsidR="003120AE">
        <w:rPr>
          <w:rFonts w:ascii="Times New Roman" w:hAnsi="Times New Roman" w:cs="Times New Roman"/>
          <w:sz w:val="24"/>
          <w:szCs w:val="24"/>
        </w:rPr>
        <w:t xml:space="preserve">banking </w:t>
      </w:r>
      <w:r w:rsidR="00960E26" w:rsidRPr="004B502E">
        <w:rPr>
          <w:rFonts w:ascii="Times New Roman" w:hAnsi="Times New Roman" w:cs="Times New Roman"/>
          <w:sz w:val="24"/>
          <w:szCs w:val="24"/>
        </w:rPr>
        <w:t xml:space="preserve">operations </w:t>
      </w:r>
      <w:r w:rsidR="00DC623F">
        <w:rPr>
          <w:rFonts w:ascii="Times New Roman" w:hAnsi="Times New Roman" w:cs="Times New Roman"/>
          <w:sz w:val="24"/>
          <w:szCs w:val="24"/>
        </w:rPr>
        <w:t>to</w:t>
      </w:r>
      <w:r w:rsidR="00DC623F" w:rsidRPr="004B502E">
        <w:rPr>
          <w:rFonts w:ascii="Times New Roman" w:hAnsi="Times New Roman" w:cs="Times New Roman"/>
          <w:sz w:val="24"/>
          <w:szCs w:val="24"/>
        </w:rPr>
        <w:t xml:space="preserve"> </w:t>
      </w:r>
      <w:r w:rsidR="00960E26" w:rsidRPr="004B502E">
        <w:rPr>
          <w:rFonts w:ascii="Times New Roman" w:hAnsi="Times New Roman" w:cs="Times New Roman"/>
          <w:sz w:val="24"/>
          <w:szCs w:val="24"/>
        </w:rPr>
        <w:t>decreas</w:t>
      </w:r>
      <w:r w:rsidR="00DC623F">
        <w:rPr>
          <w:rFonts w:ascii="Times New Roman" w:hAnsi="Times New Roman" w:cs="Times New Roman"/>
          <w:sz w:val="24"/>
          <w:szCs w:val="24"/>
        </w:rPr>
        <w:t>e</w:t>
      </w:r>
      <w:r w:rsidR="00960E26" w:rsidRPr="004B502E">
        <w:rPr>
          <w:rFonts w:ascii="Times New Roman" w:hAnsi="Times New Roman" w:cs="Times New Roman"/>
          <w:sz w:val="24"/>
          <w:szCs w:val="24"/>
        </w:rPr>
        <w:t xml:space="preserve"> the effect</w:t>
      </w:r>
      <w:r w:rsidR="00FE1B61" w:rsidRPr="004B502E">
        <w:rPr>
          <w:rFonts w:ascii="Times New Roman" w:hAnsi="Times New Roman" w:cs="Times New Roman"/>
          <w:sz w:val="24"/>
          <w:szCs w:val="24"/>
        </w:rPr>
        <w:t xml:space="preserve"> </w:t>
      </w:r>
      <w:r w:rsidR="00EE72D5" w:rsidRPr="004B502E">
        <w:rPr>
          <w:rFonts w:ascii="Times New Roman" w:hAnsi="Times New Roman" w:cs="Times New Roman"/>
          <w:sz w:val="24"/>
          <w:szCs w:val="24"/>
        </w:rPr>
        <w:t>of external factors</w:t>
      </w:r>
      <w:r w:rsidR="00960E26" w:rsidRPr="004B502E">
        <w:rPr>
          <w:rFonts w:ascii="Times New Roman" w:hAnsi="Times New Roman" w:cs="Times New Roman"/>
          <w:sz w:val="24"/>
          <w:szCs w:val="24"/>
        </w:rPr>
        <w:t xml:space="preserve">. </w:t>
      </w:r>
      <w:r w:rsidR="00147551" w:rsidRPr="004B502E">
        <w:rPr>
          <w:rFonts w:ascii="Times New Roman" w:hAnsi="Times New Roman" w:cs="Times New Roman"/>
          <w:sz w:val="24"/>
          <w:szCs w:val="24"/>
        </w:rPr>
        <w:t>Simultaneously, the analysis of the effect</w:t>
      </w:r>
      <w:r w:rsidR="003B7586" w:rsidRPr="004B502E">
        <w:rPr>
          <w:rFonts w:ascii="Times New Roman" w:hAnsi="Times New Roman" w:cs="Times New Roman"/>
          <w:sz w:val="24"/>
          <w:szCs w:val="24"/>
        </w:rPr>
        <w:t xml:space="preserve"> of the financial recession on</w:t>
      </w:r>
      <w:r w:rsidR="00147551" w:rsidRPr="004B502E">
        <w:rPr>
          <w:rFonts w:ascii="Times New Roman" w:hAnsi="Times New Roman" w:cs="Times New Roman"/>
          <w:sz w:val="24"/>
          <w:szCs w:val="24"/>
        </w:rPr>
        <w:t xml:space="preserve"> the performance of </w:t>
      </w:r>
      <w:r w:rsidR="00DC623F" w:rsidRPr="004B502E">
        <w:rPr>
          <w:rFonts w:ascii="Times New Roman" w:hAnsi="Times New Roman" w:cs="Times New Roman"/>
          <w:sz w:val="24"/>
          <w:szCs w:val="24"/>
        </w:rPr>
        <w:t>Malaysia</w:t>
      </w:r>
      <w:r w:rsidR="00DC623F">
        <w:rPr>
          <w:rFonts w:ascii="Times New Roman" w:hAnsi="Times New Roman" w:cs="Times New Roman"/>
          <w:sz w:val="24"/>
          <w:szCs w:val="24"/>
        </w:rPr>
        <w:t>n</w:t>
      </w:r>
      <w:r w:rsidR="00DC623F" w:rsidRPr="004B502E">
        <w:rPr>
          <w:rFonts w:ascii="Times New Roman" w:hAnsi="Times New Roman" w:cs="Times New Roman"/>
          <w:sz w:val="24"/>
          <w:szCs w:val="24"/>
        </w:rPr>
        <w:t xml:space="preserve"> </w:t>
      </w:r>
      <w:r w:rsidR="00852351">
        <w:rPr>
          <w:rFonts w:ascii="Times New Roman" w:hAnsi="Times New Roman" w:cs="Times New Roman"/>
          <w:sz w:val="24"/>
          <w:szCs w:val="24"/>
        </w:rPr>
        <w:t>Islamic banks</w:t>
      </w:r>
      <w:r w:rsidR="00147551" w:rsidRPr="004B502E">
        <w:rPr>
          <w:rFonts w:ascii="Times New Roman" w:hAnsi="Times New Roman" w:cs="Times New Roman"/>
          <w:sz w:val="24"/>
          <w:szCs w:val="24"/>
        </w:rPr>
        <w:t xml:space="preserve"> would </w:t>
      </w:r>
      <w:r w:rsidR="00DC623F">
        <w:rPr>
          <w:rFonts w:ascii="Times New Roman" w:hAnsi="Times New Roman" w:cs="Times New Roman"/>
          <w:sz w:val="24"/>
          <w:szCs w:val="24"/>
        </w:rPr>
        <w:t>help</w:t>
      </w:r>
      <w:r w:rsidR="00DC623F" w:rsidRPr="004B502E">
        <w:rPr>
          <w:rFonts w:ascii="Times New Roman" w:hAnsi="Times New Roman" w:cs="Times New Roman"/>
          <w:sz w:val="24"/>
          <w:szCs w:val="24"/>
        </w:rPr>
        <w:t xml:space="preserve"> </w:t>
      </w:r>
      <w:r w:rsidR="00147551" w:rsidRPr="004B502E">
        <w:rPr>
          <w:rFonts w:ascii="Times New Roman" w:hAnsi="Times New Roman" w:cs="Times New Roman"/>
          <w:sz w:val="24"/>
          <w:szCs w:val="24"/>
        </w:rPr>
        <w:t xml:space="preserve">us understand how resistant </w:t>
      </w:r>
      <w:r w:rsidR="00DC623F">
        <w:rPr>
          <w:rFonts w:ascii="Times New Roman" w:hAnsi="Times New Roman" w:cs="Times New Roman"/>
          <w:sz w:val="24"/>
          <w:szCs w:val="24"/>
        </w:rPr>
        <w:t>these</w:t>
      </w:r>
      <w:r w:rsidR="00147551" w:rsidRPr="004B502E">
        <w:rPr>
          <w:rFonts w:ascii="Times New Roman" w:hAnsi="Times New Roman" w:cs="Times New Roman"/>
          <w:sz w:val="24"/>
          <w:szCs w:val="24"/>
        </w:rPr>
        <w:t xml:space="preserve"> banks </w:t>
      </w:r>
      <w:r w:rsidR="00960E26" w:rsidRPr="004B502E">
        <w:rPr>
          <w:rFonts w:ascii="Times New Roman" w:hAnsi="Times New Roman" w:cs="Times New Roman"/>
          <w:sz w:val="24"/>
          <w:szCs w:val="24"/>
        </w:rPr>
        <w:t xml:space="preserve">were during the </w:t>
      </w:r>
      <w:r w:rsidR="00DC0077">
        <w:rPr>
          <w:rFonts w:ascii="Times New Roman" w:hAnsi="Times New Roman" w:cs="Times New Roman"/>
          <w:sz w:val="24"/>
          <w:szCs w:val="24"/>
        </w:rPr>
        <w:t>financial</w:t>
      </w:r>
      <w:r w:rsidR="00EE72D5" w:rsidRPr="004B502E">
        <w:rPr>
          <w:rFonts w:ascii="Times New Roman" w:hAnsi="Times New Roman" w:cs="Times New Roman"/>
          <w:sz w:val="24"/>
          <w:szCs w:val="24"/>
        </w:rPr>
        <w:t xml:space="preserve"> </w:t>
      </w:r>
      <w:r w:rsidR="00960E26" w:rsidRPr="004B502E">
        <w:rPr>
          <w:rFonts w:ascii="Times New Roman" w:hAnsi="Times New Roman" w:cs="Times New Roman"/>
          <w:sz w:val="24"/>
          <w:szCs w:val="24"/>
        </w:rPr>
        <w:t>crisis</w:t>
      </w:r>
      <w:r w:rsidR="00EE72D5" w:rsidRPr="004B502E">
        <w:rPr>
          <w:rFonts w:ascii="Times New Roman" w:hAnsi="Times New Roman" w:cs="Times New Roman"/>
          <w:sz w:val="24"/>
          <w:szCs w:val="24"/>
        </w:rPr>
        <w:t xml:space="preserve"> of 2008,</w:t>
      </w:r>
      <w:r w:rsidR="00960E26" w:rsidRPr="004B502E">
        <w:rPr>
          <w:rFonts w:ascii="Times New Roman" w:hAnsi="Times New Roman" w:cs="Times New Roman"/>
          <w:sz w:val="24"/>
          <w:szCs w:val="24"/>
        </w:rPr>
        <w:t xml:space="preserve"> </w:t>
      </w:r>
      <w:r w:rsidR="00147551" w:rsidRPr="004B502E">
        <w:rPr>
          <w:rFonts w:ascii="Times New Roman" w:hAnsi="Times New Roman" w:cs="Times New Roman"/>
          <w:sz w:val="24"/>
          <w:szCs w:val="24"/>
        </w:rPr>
        <w:t xml:space="preserve">and whether </w:t>
      </w:r>
      <w:r w:rsidR="00A05417" w:rsidRPr="004B502E">
        <w:rPr>
          <w:rFonts w:ascii="Times New Roman" w:hAnsi="Times New Roman" w:cs="Times New Roman"/>
          <w:sz w:val="24"/>
          <w:szCs w:val="24"/>
        </w:rPr>
        <w:t xml:space="preserve">the </w:t>
      </w:r>
      <w:r w:rsidR="00147551" w:rsidRPr="004B502E">
        <w:rPr>
          <w:rFonts w:ascii="Times New Roman" w:hAnsi="Times New Roman" w:cs="Times New Roman"/>
          <w:sz w:val="24"/>
          <w:szCs w:val="24"/>
        </w:rPr>
        <w:t>Malaysian model of Islamic banking could be further implemented in other countries.</w:t>
      </w:r>
    </w:p>
    <w:p w:rsidR="008E3F2C" w:rsidRPr="001D4AB4" w:rsidRDefault="008E3F2C" w:rsidP="001D4AB4">
      <w:pPr>
        <w:pStyle w:val="Heading2"/>
        <w:spacing w:line="480" w:lineRule="auto"/>
        <w:rPr>
          <w:rFonts w:ascii="Times New Roman" w:hAnsi="Times New Roman" w:cs="Times New Roman"/>
          <w:color w:val="auto"/>
          <w:sz w:val="24"/>
        </w:rPr>
      </w:pPr>
      <w:bookmarkStart w:id="8" w:name="_Toc346718428"/>
      <w:r w:rsidRPr="001D4AB4">
        <w:rPr>
          <w:rFonts w:ascii="Times New Roman" w:hAnsi="Times New Roman" w:cs="Times New Roman"/>
          <w:color w:val="auto"/>
          <w:sz w:val="24"/>
        </w:rPr>
        <w:t>1.3</w:t>
      </w:r>
      <w:r w:rsidR="001D4AB4" w:rsidRPr="001D4AB4">
        <w:rPr>
          <w:rFonts w:ascii="Times New Roman" w:hAnsi="Times New Roman" w:cs="Times New Roman"/>
          <w:color w:val="auto"/>
          <w:sz w:val="24"/>
        </w:rPr>
        <w:t>.</w:t>
      </w:r>
      <w:r w:rsidRPr="001D4AB4">
        <w:rPr>
          <w:rFonts w:ascii="Times New Roman" w:hAnsi="Times New Roman" w:cs="Times New Roman"/>
          <w:color w:val="auto"/>
          <w:sz w:val="24"/>
        </w:rPr>
        <w:t xml:space="preserve"> Structure</w:t>
      </w:r>
      <w:bookmarkEnd w:id="8"/>
    </w:p>
    <w:p w:rsidR="00EE72D5" w:rsidRDefault="008E3F2C" w:rsidP="005A3AB7">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047147">
        <w:rPr>
          <w:rFonts w:ascii="Times New Roman" w:hAnsi="Times New Roman" w:cs="Times New Roman"/>
          <w:sz w:val="24"/>
          <w:szCs w:val="24"/>
        </w:rPr>
        <w:t xml:space="preserve">The rest of the study is organized as follows. Chapter 2 initially discusses the studies where the </w:t>
      </w:r>
      <w:r w:rsidR="005E7D9D" w:rsidRPr="00047147">
        <w:rPr>
          <w:rFonts w:ascii="Times New Roman" w:hAnsi="Times New Roman" w:cs="Times New Roman"/>
          <w:sz w:val="24"/>
          <w:szCs w:val="24"/>
        </w:rPr>
        <w:t>effect of internal and external factors on the performance of co</w:t>
      </w:r>
      <w:r w:rsidR="005E7D9D">
        <w:rPr>
          <w:rFonts w:ascii="Times New Roman" w:hAnsi="Times New Roman" w:cs="Times New Roman"/>
          <w:sz w:val="24"/>
          <w:szCs w:val="24"/>
        </w:rPr>
        <w:t xml:space="preserve">nventional and </w:t>
      </w:r>
      <w:r w:rsidR="00852351">
        <w:rPr>
          <w:rFonts w:ascii="Times New Roman" w:hAnsi="Times New Roman" w:cs="Times New Roman"/>
          <w:sz w:val="24"/>
          <w:szCs w:val="24"/>
        </w:rPr>
        <w:t>Islamic banks</w:t>
      </w:r>
      <w:r w:rsidR="005E7D9D">
        <w:rPr>
          <w:rFonts w:ascii="Times New Roman" w:hAnsi="Times New Roman" w:cs="Times New Roman"/>
          <w:sz w:val="24"/>
          <w:szCs w:val="24"/>
        </w:rPr>
        <w:t xml:space="preserve"> was</w:t>
      </w:r>
      <w:r w:rsidRPr="00047147">
        <w:rPr>
          <w:rFonts w:ascii="Times New Roman" w:hAnsi="Times New Roman" w:cs="Times New Roman"/>
          <w:sz w:val="24"/>
          <w:szCs w:val="24"/>
        </w:rPr>
        <w:t xml:space="preserve"> analyzed. Further, in the same chapter, studies conducted on evalu</w:t>
      </w:r>
      <w:r w:rsidR="00DC0077">
        <w:rPr>
          <w:rFonts w:ascii="Times New Roman" w:hAnsi="Times New Roman" w:cs="Times New Roman"/>
          <w:sz w:val="24"/>
          <w:szCs w:val="24"/>
        </w:rPr>
        <w:t>ating the effect of the financial</w:t>
      </w:r>
      <w:r w:rsidRPr="00047147">
        <w:rPr>
          <w:rFonts w:ascii="Times New Roman" w:hAnsi="Times New Roman" w:cs="Times New Roman"/>
          <w:sz w:val="24"/>
          <w:szCs w:val="24"/>
        </w:rPr>
        <w:t xml:space="preserve"> crisis of 2008 on the performance of </w:t>
      </w:r>
      <w:r w:rsidR="00852351">
        <w:rPr>
          <w:rFonts w:ascii="Times New Roman" w:hAnsi="Times New Roman" w:cs="Times New Roman"/>
          <w:sz w:val="24"/>
          <w:szCs w:val="24"/>
        </w:rPr>
        <w:t>Islamic banks</w:t>
      </w:r>
      <w:r w:rsidR="00047147" w:rsidRPr="00047147">
        <w:rPr>
          <w:rFonts w:ascii="Times New Roman" w:hAnsi="Times New Roman" w:cs="Times New Roman"/>
          <w:sz w:val="24"/>
          <w:szCs w:val="24"/>
        </w:rPr>
        <w:t xml:space="preserve"> were presented</w:t>
      </w:r>
      <w:r w:rsidRPr="00047147">
        <w:rPr>
          <w:rFonts w:ascii="Times New Roman" w:hAnsi="Times New Roman" w:cs="Times New Roman"/>
          <w:sz w:val="24"/>
          <w:szCs w:val="24"/>
        </w:rPr>
        <w:t xml:space="preserve">. Chapter 3 describes the collected data set, the </w:t>
      </w:r>
      <w:r w:rsidR="00047147" w:rsidRPr="00047147">
        <w:rPr>
          <w:rFonts w:ascii="Times New Roman" w:hAnsi="Times New Roman" w:cs="Times New Roman"/>
          <w:sz w:val="24"/>
          <w:szCs w:val="24"/>
        </w:rPr>
        <w:t>variables that will be included in the study, and the statistical analysis used for examining the data. Later, the budget and the future progress time</w:t>
      </w:r>
      <w:r w:rsidR="00DC623F">
        <w:rPr>
          <w:rFonts w:ascii="Times New Roman" w:hAnsi="Times New Roman" w:cs="Times New Roman"/>
          <w:sz w:val="24"/>
          <w:szCs w:val="24"/>
        </w:rPr>
        <w:t xml:space="preserve"> </w:t>
      </w:r>
      <w:r w:rsidR="00047147" w:rsidRPr="00047147">
        <w:rPr>
          <w:rFonts w:ascii="Times New Roman" w:hAnsi="Times New Roman" w:cs="Times New Roman"/>
          <w:sz w:val="24"/>
          <w:szCs w:val="24"/>
        </w:rPr>
        <w:t xml:space="preserve">line of the study </w:t>
      </w:r>
      <w:r w:rsidR="00DC623F">
        <w:rPr>
          <w:rFonts w:ascii="Times New Roman" w:hAnsi="Times New Roman" w:cs="Times New Roman"/>
          <w:sz w:val="24"/>
          <w:szCs w:val="24"/>
        </w:rPr>
        <w:t>are</w:t>
      </w:r>
      <w:r w:rsidR="00DC623F" w:rsidRPr="00047147">
        <w:rPr>
          <w:rFonts w:ascii="Times New Roman" w:hAnsi="Times New Roman" w:cs="Times New Roman"/>
          <w:sz w:val="24"/>
          <w:szCs w:val="24"/>
        </w:rPr>
        <w:t xml:space="preserve"> </w:t>
      </w:r>
      <w:r w:rsidR="00047147" w:rsidRPr="00047147">
        <w:rPr>
          <w:rFonts w:ascii="Times New Roman" w:hAnsi="Times New Roman" w:cs="Times New Roman"/>
          <w:sz w:val="24"/>
          <w:szCs w:val="24"/>
        </w:rPr>
        <w:t xml:space="preserve">presented. </w:t>
      </w:r>
    </w:p>
    <w:p w:rsidR="00B826C4" w:rsidRDefault="00B826C4" w:rsidP="005A3AB7">
      <w:pPr>
        <w:spacing w:line="480" w:lineRule="auto"/>
        <w:rPr>
          <w:rFonts w:ascii="Times New Roman" w:hAnsi="Times New Roman" w:cs="Times New Roman"/>
          <w:sz w:val="24"/>
          <w:szCs w:val="24"/>
        </w:rPr>
      </w:pPr>
    </w:p>
    <w:p w:rsidR="00B826C4" w:rsidRPr="00635235" w:rsidRDefault="00B826C4" w:rsidP="005A3AB7">
      <w:pPr>
        <w:spacing w:line="480" w:lineRule="auto"/>
        <w:rPr>
          <w:rFonts w:ascii="Times New Roman" w:hAnsi="Times New Roman" w:cs="Times New Roman"/>
          <w:sz w:val="24"/>
          <w:szCs w:val="24"/>
        </w:rPr>
      </w:pPr>
    </w:p>
    <w:p w:rsidR="000F1A66" w:rsidRPr="001D4AB4" w:rsidRDefault="006508F8" w:rsidP="001D4AB4">
      <w:pPr>
        <w:pStyle w:val="Heading1"/>
        <w:spacing w:line="480" w:lineRule="auto"/>
        <w:jc w:val="center"/>
        <w:rPr>
          <w:rFonts w:ascii="Times New Roman" w:hAnsi="Times New Roman" w:cs="Times New Roman"/>
          <w:color w:val="auto"/>
          <w:sz w:val="24"/>
        </w:rPr>
      </w:pPr>
      <w:bookmarkStart w:id="9" w:name="_Toc346718429"/>
      <w:r w:rsidRPr="001D4AB4">
        <w:rPr>
          <w:rFonts w:ascii="Times New Roman" w:hAnsi="Times New Roman" w:cs="Times New Roman"/>
          <w:color w:val="auto"/>
          <w:sz w:val="24"/>
        </w:rPr>
        <w:t>2.0. Literature Review</w:t>
      </w:r>
      <w:bookmarkEnd w:id="9"/>
    </w:p>
    <w:p w:rsidR="00D921F6" w:rsidRPr="001D4AB4" w:rsidRDefault="00D921F6" w:rsidP="001D4AB4">
      <w:pPr>
        <w:pStyle w:val="Heading2"/>
        <w:spacing w:line="480" w:lineRule="auto"/>
        <w:rPr>
          <w:rFonts w:ascii="Times New Roman" w:hAnsi="Times New Roman" w:cs="Times New Roman"/>
          <w:color w:val="auto"/>
          <w:sz w:val="24"/>
        </w:rPr>
      </w:pPr>
      <w:bookmarkStart w:id="10" w:name="_Toc346718430"/>
      <w:r w:rsidRPr="001D4AB4">
        <w:rPr>
          <w:rFonts w:ascii="Times New Roman" w:hAnsi="Times New Roman" w:cs="Times New Roman"/>
          <w:color w:val="auto"/>
          <w:sz w:val="24"/>
        </w:rPr>
        <w:t xml:space="preserve">2.1. </w:t>
      </w:r>
      <w:r w:rsidR="00DB0977" w:rsidRPr="001D4AB4">
        <w:rPr>
          <w:rFonts w:ascii="Times New Roman" w:hAnsi="Times New Roman" w:cs="Times New Roman"/>
          <w:color w:val="auto"/>
          <w:sz w:val="24"/>
        </w:rPr>
        <w:t>Studies Conducted on Conventional B</w:t>
      </w:r>
      <w:r w:rsidRPr="001D4AB4">
        <w:rPr>
          <w:rFonts w:ascii="Times New Roman" w:hAnsi="Times New Roman" w:cs="Times New Roman"/>
          <w:color w:val="auto"/>
          <w:sz w:val="24"/>
        </w:rPr>
        <w:t>anks</w:t>
      </w:r>
      <w:bookmarkEnd w:id="10"/>
    </w:p>
    <w:p w:rsidR="005F2148" w:rsidRPr="004B502E" w:rsidRDefault="000F1A66" w:rsidP="00960E26">
      <w:pPr>
        <w:spacing w:line="480" w:lineRule="auto"/>
        <w:ind w:firstLine="720"/>
        <w:rPr>
          <w:rFonts w:ascii="Times New Roman" w:hAnsi="Times New Roman" w:cs="Times New Roman"/>
          <w:sz w:val="24"/>
          <w:szCs w:val="24"/>
        </w:rPr>
      </w:pPr>
      <w:r w:rsidRPr="004B502E">
        <w:rPr>
          <w:rFonts w:ascii="Times New Roman" w:hAnsi="Times New Roman" w:cs="Times New Roman"/>
          <w:sz w:val="24"/>
          <w:szCs w:val="24"/>
        </w:rPr>
        <w:t xml:space="preserve">One of the earliest profitability studies </w:t>
      </w:r>
      <w:r w:rsidR="00A05417" w:rsidRPr="004B502E">
        <w:rPr>
          <w:rFonts w:ascii="Times New Roman" w:hAnsi="Times New Roman" w:cs="Times New Roman"/>
          <w:sz w:val="24"/>
          <w:szCs w:val="24"/>
        </w:rPr>
        <w:t xml:space="preserve">was </w:t>
      </w:r>
      <w:r w:rsidR="00960E26" w:rsidRPr="004B502E">
        <w:rPr>
          <w:rFonts w:ascii="Times New Roman" w:hAnsi="Times New Roman" w:cs="Times New Roman"/>
          <w:sz w:val="24"/>
          <w:szCs w:val="24"/>
        </w:rPr>
        <w:t xml:space="preserve">performed </w:t>
      </w:r>
      <w:r w:rsidRPr="004B502E">
        <w:rPr>
          <w:rFonts w:ascii="Times New Roman" w:hAnsi="Times New Roman" w:cs="Times New Roman"/>
          <w:sz w:val="24"/>
          <w:szCs w:val="24"/>
        </w:rPr>
        <w:t>by Short (197</w:t>
      </w:r>
      <w:r w:rsidR="004111A3" w:rsidRPr="004B502E">
        <w:rPr>
          <w:rFonts w:ascii="Times New Roman" w:hAnsi="Times New Roman" w:cs="Times New Roman"/>
          <w:sz w:val="24"/>
          <w:szCs w:val="24"/>
        </w:rPr>
        <w:t>9)</w:t>
      </w:r>
      <w:r w:rsidR="00DC623F">
        <w:rPr>
          <w:rFonts w:ascii="Times New Roman" w:hAnsi="Times New Roman" w:cs="Times New Roman"/>
          <w:sz w:val="24"/>
          <w:szCs w:val="24"/>
        </w:rPr>
        <w:t>,</w:t>
      </w:r>
      <w:r w:rsidR="004111A3" w:rsidRPr="004B502E">
        <w:rPr>
          <w:rFonts w:ascii="Times New Roman" w:hAnsi="Times New Roman" w:cs="Times New Roman"/>
          <w:sz w:val="24"/>
          <w:szCs w:val="24"/>
        </w:rPr>
        <w:t xml:space="preserve"> </w:t>
      </w:r>
      <w:r w:rsidR="00DC623F">
        <w:rPr>
          <w:rFonts w:ascii="Times New Roman" w:hAnsi="Times New Roman" w:cs="Times New Roman"/>
          <w:sz w:val="24"/>
          <w:szCs w:val="24"/>
        </w:rPr>
        <w:t>where he</w:t>
      </w:r>
      <w:r w:rsidR="004111A3" w:rsidRPr="004B502E">
        <w:rPr>
          <w:rFonts w:ascii="Times New Roman" w:hAnsi="Times New Roman" w:cs="Times New Roman"/>
          <w:sz w:val="24"/>
          <w:szCs w:val="24"/>
        </w:rPr>
        <w:t xml:space="preserve"> analyzed </w:t>
      </w:r>
      <w:r w:rsidR="005F2148" w:rsidRPr="004B502E">
        <w:rPr>
          <w:rFonts w:ascii="Times New Roman" w:hAnsi="Times New Roman" w:cs="Times New Roman"/>
          <w:sz w:val="24"/>
          <w:szCs w:val="24"/>
        </w:rPr>
        <w:t xml:space="preserve">the impact of the concentration variable </w:t>
      </w:r>
      <w:r w:rsidR="00952014" w:rsidRPr="004B502E">
        <w:rPr>
          <w:rFonts w:ascii="Times New Roman" w:hAnsi="Times New Roman" w:cs="Times New Roman"/>
          <w:sz w:val="24"/>
          <w:szCs w:val="24"/>
        </w:rPr>
        <w:t xml:space="preserve">on the </w:t>
      </w:r>
      <w:r w:rsidR="004111A3" w:rsidRPr="004B502E">
        <w:rPr>
          <w:rFonts w:ascii="Times New Roman" w:hAnsi="Times New Roman" w:cs="Times New Roman"/>
          <w:sz w:val="24"/>
          <w:szCs w:val="24"/>
        </w:rPr>
        <w:t>banks’</w:t>
      </w:r>
      <w:r w:rsidR="005F2148" w:rsidRPr="004B502E">
        <w:rPr>
          <w:rFonts w:ascii="Times New Roman" w:hAnsi="Times New Roman" w:cs="Times New Roman"/>
          <w:sz w:val="24"/>
          <w:szCs w:val="24"/>
        </w:rPr>
        <w:t xml:space="preserve"> performance</w:t>
      </w:r>
      <w:r w:rsidR="004111A3" w:rsidRPr="004B502E">
        <w:rPr>
          <w:rFonts w:ascii="Times New Roman" w:hAnsi="Times New Roman" w:cs="Times New Roman"/>
          <w:sz w:val="24"/>
          <w:szCs w:val="24"/>
        </w:rPr>
        <w:t xml:space="preserve">. </w:t>
      </w:r>
      <w:r w:rsidR="00B71708">
        <w:rPr>
          <w:rFonts w:ascii="Times New Roman" w:hAnsi="Times New Roman" w:cs="Times New Roman"/>
          <w:sz w:val="24"/>
          <w:szCs w:val="24"/>
        </w:rPr>
        <w:t>T</w:t>
      </w:r>
      <w:r w:rsidR="00A05417" w:rsidRPr="004B502E">
        <w:rPr>
          <w:rFonts w:ascii="Times New Roman" w:hAnsi="Times New Roman" w:cs="Times New Roman"/>
          <w:sz w:val="24"/>
          <w:szCs w:val="24"/>
        </w:rPr>
        <w:t xml:space="preserve">he </w:t>
      </w:r>
      <w:r w:rsidR="004111A3" w:rsidRPr="004B502E">
        <w:rPr>
          <w:rFonts w:ascii="Times New Roman" w:hAnsi="Times New Roman" w:cs="Times New Roman"/>
          <w:sz w:val="24"/>
          <w:szCs w:val="24"/>
        </w:rPr>
        <w:t>author used</w:t>
      </w:r>
      <w:r w:rsidR="005F2148" w:rsidRPr="004B502E">
        <w:rPr>
          <w:rFonts w:ascii="Times New Roman" w:hAnsi="Times New Roman" w:cs="Times New Roman"/>
          <w:sz w:val="24"/>
          <w:szCs w:val="24"/>
        </w:rPr>
        <w:t xml:space="preserve"> data</w:t>
      </w:r>
      <w:r w:rsidR="00DC623F">
        <w:rPr>
          <w:rFonts w:ascii="Times New Roman" w:hAnsi="Times New Roman" w:cs="Times New Roman"/>
          <w:sz w:val="24"/>
          <w:szCs w:val="24"/>
        </w:rPr>
        <w:t xml:space="preserve"> </w:t>
      </w:r>
      <w:r w:rsidR="005F2148" w:rsidRPr="004B502E">
        <w:rPr>
          <w:rFonts w:ascii="Times New Roman" w:hAnsi="Times New Roman" w:cs="Times New Roman"/>
          <w:sz w:val="24"/>
          <w:szCs w:val="24"/>
        </w:rPr>
        <w:t>set</w:t>
      </w:r>
      <w:r w:rsidR="00A05417" w:rsidRPr="004B502E">
        <w:rPr>
          <w:rFonts w:ascii="Times New Roman" w:hAnsi="Times New Roman" w:cs="Times New Roman"/>
          <w:sz w:val="24"/>
          <w:szCs w:val="24"/>
        </w:rPr>
        <w:t>s</w:t>
      </w:r>
      <w:r w:rsidR="005F2148" w:rsidRPr="004B502E">
        <w:rPr>
          <w:rFonts w:ascii="Times New Roman" w:hAnsi="Times New Roman" w:cs="Times New Roman"/>
          <w:sz w:val="24"/>
          <w:szCs w:val="24"/>
        </w:rPr>
        <w:t xml:space="preserve"> collected from 60 conventional banks </w:t>
      </w:r>
      <w:r w:rsidR="00B71708">
        <w:rPr>
          <w:rFonts w:ascii="Times New Roman" w:hAnsi="Times New Roman" w:cs="Times New Roman"/>
          <w:sz w:val="24"/>
          <w:szCs w:val="24"/>
        </w:rPr>
        <w:t>in</w:t>
      </w:r>
      <w:r w:rsidR="00B71708" w:rsidRPr="004B502E">
        <w:rPr>
          <w:rFonts w:ascii="Times New Roman" w:hAnsi="Times New Roman" w:cs="Times New Roman"/>
          <w:sz w:val="24"/>
          <w:szCs w:val="24"/>
        </w:rPr>
        <w:t xml:space="preserve"> </w:t>
      </w:r>
      <w:r w:rsidR="005F2148" w:rsidRPr="004B502E">
        <w:rPr>
          <w:rFonts w:ascii="Times New Roman" w:hAnsi="Times New Roman" w:cs="Times New Roman"/>
          <w:sz w:val="24"/>
          <w:szCs w:val="24"/>
        </w:rPr>
        <w:t>Canada, Western Eu</w:t>
      </w:r>
      <w:r w:rsidR="004111A3" w:rsidRPr="004B502E">
        <w:rPr>
          <w:rFonts w:ascii="Times New Roman" w:hAnsi="Times New Roman" w:cs="Times New Roman"/>
          <w:sz w:val="24"/>
          <w:szCs w:val="24"/>
        </w:rPr>
        <w:t>rope</w:t>
      </w:r>
      <w:r w:rsidR="00B71708">
        <w:rPr>
          <w:rFonts w:ascii="Times New Roman" w:hAnsi="Times New Roman" w:cs="Times New Roman"/>
          <w:sz w:val="24"/>
          <w:szCs w:val="24"/>
        </w:rPr>
        <w:t>,</w:t>
      </w:r>
      <w:r w:rsidR="004111A3" w:rsidRPr="004B502E">
        <w:rPr>
          <w:rFonts w:ascii="Times New Roman" w:hAnsi="Times New Roman" w:cs="Times New Roman"/>
          <w:sz w:val="24"/>
          <w:szCs w:val="24"/>
        </w:rPr>
        <w:t xml:space="preserve"> and Japan for the period</w:t>
      </w:r>
      <w:r w:rsidR="005F2148" w:rsidRPr="004B502E">
        <w:rPr>
          <w:rFonts w:ascii="Times New Roman" w:hAnsi="Times New Roman" w:cs="Times New Roman"/>
          <w:sz w:val="24"/>
          <w:szCs w:val="24"/>
        </w:rPr>
        <w:t xml:space="preserve"> 1971</w:t>
      </w:r>
      <w:r w:rsidR="00B71708">
        <w:rPr>
          <w:rFonts w:ascii="Times New Roman" w:hAnsi="Times New Roman" w:cs="Times New Roman"/>
          <w:sz w:val="24"/>
          <w:szCs w:val="24"/>
        </w:rPr>
        <w:t>-</w:t>
      </w:r>
      <w:r w:rsidR="005F2148" w:rsidRPr="004B502E">
        <w:rPr>
          <w:rFonts w:ascii="Times New Roman" w:hAnsi="Times New Roman" w:cs="Times New Roman"/>
          <w:sz w:val="24"/>
          <w:szCs w:val="24"/>
        </w:rPr>
        <w:t>1975. Considering the wide scope of the study and differences in the banking as well as accounting practices of the</w:t>
      </w:r>
      <w:r w:rsidR="004111A3" w:rsidRPr="004B502E">
        <w:rPr>
          <w:rFonts w:ascii="Times New Roman" w:hAnsi="Times New Roman" w:cs="Times New Roman"/>
          <w:sz w:val="24"/>
          <w:szCs w:val="24"/>
        </w:rPr>
        <w:t xml:space="preserve"> selected banks, </w:t>
      </w:r>
      <w:r w:rsidR="00A05417" w:rsidRPr="004B502E">
        <w:rPr>
          <w:rFonts w:ascii="Times New Roman" w:hAnsi="Times New Roman" w:cs="Times New Roman"/>
          <w:sz w:val="24"/>
          <w:szCs w:val="24"/>
        </w:rPr>
        <w:t xml:space="preserve">the </w:t>
      </w:r>
      <w:r w:rsidR="004111A3" w:rsidRPr="004B502E">
        <w:rPr>
          <w:rFonts w:ascii="Times New Roman" w:hAnsi="Times New Roman" w:cs="Times New Roman"/>
          <w:sz w:val="24"/>
          <w:szCs w:val="24"/>
        </w:rPr>
        <w:t>author included</w:t>
      </w:r>
      <w:r w:rsidR="005F2148" w:rsidRPr="004B502E">
        <w:rPr>
          <w:rFonts w:ascii="Times New Roman" w:hAnsi="Times New Roman" w:cs="Times New Roman"/>
          <w:sz w:val="24"/>
          <w:szCs w:val="24"/>
        </w:rPr>
        <w:t xml:space="preserve"> explanatory variables for eliminating </w:t>
      </w:r>
      <w:r w:rsidR="004111A3" w:rsidRPr="004B502E">
        <w:rPr>
          <w:rFonts w:ascii="Times New Roman" w:hAnsi="Times New Roman" w:cs="Times New Roman"/>
          <w:sz w:val="24"/>
          <w:szCs w:val="24"/>
        </w:rPr>
        <w:t xml:space="preserve">the </w:t>
      </w:r>
      <w:r w:rsidR="005F2148" w:rsidRPr="004B502E">
        <w:rPr>
          <w:rFonts w:ascii="Times New Roman" w:hAnsi="Times New Roman" w:cs="Times New Roman"/>
          <w:sz w:val="24"/>
          <w:szCs w:val="24"/>
        </w:rPr>
        <w:t xml:space="preserve">fundamental differences between practices. As a result Short </w:t>
      </w:r>
      <w:r w:rsidR="004111A3" w:rsidRPr="004B502E">
        <w:rPr>
          <w:rFonts w:ascii="Times New Roman" w:hAnsi="Times New Roman" w:cs="Times New Roman"/>
          <w:sz w:val="24"/>
          <w:szCs w:val="24"/>
        </w:rPr>
        <w:t xml:space="preserve">concluded that </w:t>
      </w:r>
      <w:r w:rsidR="005F2148" w:rsidRPr="004B502E">
        <w:rPr>
          <w:rFonts w:ascii="Times New Roman" w:hAnsi="Times New Roman" w:cs="Times New Roman"/>
          <w:sz w:val="24"/>
          <w:szCs w:val="24"/>
        </w:rPr>
        <w:t>higher conce</w:t>
      </w:r>
      <w:r w:rsidR="004111A3" w:rsidRPr="004B502E">
        <w:rPr>
          <w:rFonts w:ascii="Times New Roman" w:hAnsi="Times New Roman" w:cs="Times New Roman"/>
          <w:sz w:val="24"/>
          <w:szCs w:val="24"/>
        </w:rPr>
        <w:t>ntration</w:t>
      </w:r>
      <w:r w:rsidR="00B71708">
        <w:rPr>
          <w:rFonts w:ascii="Times New Roman" w:hAnsi="Times New Roman" w:cs="Times New Roman"/>
          <w:sz w:val="24"/>
          <w:szCs w:val="24"/>
        </w:rPr>
        <w:t>s</w:t>
      </w:r>
      <w:r w:rsidR="004111A3" w:rsidRPr="004B502E">
        <w:rPr>
          <w:rFonts w:ascii="Times New Roman" w:hAnsi="Times New Roman" w:cs="Times New Roman"/>
          <w:sz w:val="24"/>
          <w:szCs w:val="24"/>
        </w:rPr>
        <w:t xml:space="preserve"> </w:t>
      </w:r>
      <w:r w:rsidR="005E7D9D">
        <w:rPr>
          <w:rFonts w:ascii="Times New Roman" w:hAnsi="Times New Roman" w:cs="Times New Roman"/>
          <w:sz w:val="24"/>
          <w:szCs w:val="24"/>
        </w:rPr>
        <w:t xml:space="preserve">of banks </w:t>
      </w:r>
      <w:r w:rsidR="004111A3" w:rsidRPr="004B502E">
        <w:rPr>
          <w:rFonts w:ascii="Times New Roman" w:hAnsi="Times New Roman" w:cs="Times New Roman"/>
          <w:sz w:val="24"/>
          <w:szCs w:val="24"/>
        </w:rPr>
        <w:t>lead to higher profitability</w:t>
      </w:r>
      <w:r w:rsidR="005F2148" w:rsidRPr="004B502E">
        <w:rPr>
          <w:rFonts w:ascii="Times New Roman" w:hAnsi="Times New Roman" w:cs="Times New Roman"/>
          <w:sz w:val="24"/>
          <w:szCs w:val="24"/>
        </w:rPr>
        <w:t xml:space="preserve">.  </w:t>
      </w:r>
    </w:p>
    <w:p w:rsidR="005F2148" w:rsidRPr="004B502E" w:rsidRDefault="004111A3" w:rsidP="000F1A66">
      <w:pPr>
        <w:spacing w:line="480" w:lineRule="auto"/>
        <w:ind w:firstLine="720"/>
        <w:rPr>
          <w:rFonts w:ascii="Times New Roman" w:hAnsi="Times New Roman" w:cs="Times New Roman"/>
          <w:sz w:val="24"/>
          <w:szCs w:val="24"/>
        </w:rPr>
      </w:pPr>
      <w:r w:rsidRPr="004B502E">
        <w:rPr>
          <w:rFonts w:ascii="Times New Roman" w:hAnsi="Times New Roman" w:cs="Times New Roman"/>
          <w:sz w:val="24"/>
          <w:szCs w:val="24"/>
        </w:rPr>
        <w:t>Similarly, Bourke (1989)</w:t>
      </w:r>
      <w:r w:rsidR="005F2148" w:rsidRPr="004B502E">
        <w:rPr>
          <w:rFonts w:ascii="Times New Roman" w:hAnsi="Times New Roman" w:cs="Times New Roman"/>
          <w:sz w:val="24"/>
          <w:szCs w:val="24"/>
        </w:rPr>
        <w:t xml:space="preserve"> </w:t>
      </w:r>
      <w:r w:rsidRPr="004B502E">
        <w:rPr>
          <w:rFonts w:ascii="Times New Roman" w:hAnsi="Times New Roman" w:cs="Times New Roman"/>
          <w:sz w:val="24"/>
          <w:szCs w:val="24"/>
        </w:rPr>
        <w:t xml:space="preserve">conducted the same analysis as Short (1979), but </w:t>
      </w:r>
      <w:r w:rsidR="00B71708">
        <w:rPr>
          <w:rFonts w:ascii="Times New Roman" w:hAnsi="Times New Roman" w:cs="Times New Roman"/>
          <w:sz w:val="24"/>
          <w:szCs w:val="24"/>
        </w:rPr>
        <w:t>with</w:t>
      </w:r>
      <w:r w:rsidR="00B71708" w:rsidRPr="004B502E">
        <w:rPr>
          <w:rFonts w:ascii="Times New Roman" w:hAnsi="Times New Roman" w:cs="Times New Roman"/>
          <w:sz w:val="24"/>
          <w:szCs w:val="24"/>
        </w:rPr>
        <w:t xml:space="preserve"> </w:t>
      </w:r>
      <w:r w:rsidRPr="004B502E">
        <w:rPr>
          <w:rFonts w:ascii="Times New Roman" w:hAnsi="Times New Roman" w:cs="Times New Roman"/>
          <w:sz w:val="24"/>
          <w:szCs w:val="24"/>
        </w:rPr>
        <w:t xml:space="preserve">a </w:t>
      </w:r>
      <w:r w:rsidR="00EF14F9" w:rsidRPr="004B502E">
        <w:rPr>
          <w:rFonts w:ascii="Times New Roman" w:hAnsi="Times New Roman" w:cs="Times New Roman"/>
          <w:sz w:val="24"/>
          <w:szCs w:val="24"/>
        </w:rPr>
        <w:t>wide</w:t>
      </w:r>
      <w:r w:rsidRPr="004B502E">
        <w:rPr>
          <w:rFonts w:ascii="Times New Roman" w:hAnsi="Times New Roman" w:cs="Times New Roman"/>
          <w:sz w:val="24"/>
          <w:szCs w:val="24"/>
        </w:rPr>
        <w:t xml:space="preserve">r data </w:t>
      </w:r>
      <w:r w:rsidR="00EF14F9" w:rsidRPr="004B502E">
        <w:rPr>
          <w:rFonts w:ascii="Times New Roman" w:hAnsi="Times New Roman" w:cs="Times New Roman"/>
          <w:sz w:val="24"/>
          <w:szCs w:val="24"/>
        </w:rPr>
        <w:t>set</w:t>
      </w:r>
      <w:r w:rsidR="00B71708">
        <w:rPr>
          <w:rFonts w:ascii="Times New Roman" w:hAnsi="Times New Roman" w:cs="Times New Roman"/>
          <w:sz w:val="24"/>
          <w:szCs w:val="24"/>
        </w:rPr>
        <w:t xml:space="preserve">, </w:t>
      </w:r>
      <w:r w:rsidRPr="004B502E">
        <w:rPr>
          <w:rFonts w:ascii="Times New Roman" w:hAnsi="Times New Roman" w:cs="Times New Roman"/>
          <w:sz w:val="24"/>
          <w:szCs w:val="24"/>
        </w:rPr>
        <w:t xml:space="preserve">collected from </w:t>
      </w:r>
      <w:r w:rsidR="00EF14F9" w:rsidRPr="004B502E">
        <w:rPr>
          <w:rFonts w:ascii="Times New Roman" w:hAnsi="Times New Roman" w:cs="Times New Roman"/>
          <w:sz w:val="24"/>
          <w:szCs w:val="24"/>
        </w:rPr>
        <w:t xml:space="preserve">90 banks selected among 12 European and North American countries </w:t>
      </w:r>
      <w:r w:rsidR="005F2148" w:rsidRPr="004B502E">
        <w:rPr>
          <w:rFonts w:ascii="Times New Roman" w:hAnsi="Times New Roman" w:cs="Times New Roman"/>
          <w:sz w:val="24"/>
          <w:szCs w:val="24"/>
        </w:rPr>
        <w:t>for the period of 1972-1981</w:t>
      </w:r>
      <w:r w:rsidR="00B01F62">
        <w:rPr>
          <w:rFonts w:ascii="Times New Roman" w:hAnsi="Times New Roman" w:cs="Times New Roman"/>
          <w:sz w:val="24"/>
          <w:szCs w:val="24"/>
        </w:rPr>
        <w:t>.</w:t>
      </w:r>
      <w:r w:rsidR="00214E0D" w:rsidRPr="004B502E">
        <w:rPr>
          <w:rFonts w:ascii="Times New Roman" w:hAnsi="Times New Roman" w:cs="Times New Roman"/>
          <w:sz w:val="24"/>
          <w:szCs w:val="24"/>
        </w:rPr>
        <w:t xml:space="preserve"> Bourke</w:t>
      </w:r>
      <w:r w:rsidR="00EF14F9" w:rsidRPr="004B502E">
        <w:rPr>
          <w:rFonts w:ascii="Times New Roman" w:hAnsi="Times New Roman" w:cs="Times New Roman"/>
          <w:sz w:val="24"/>
          <w:szCs w:val="24"/>
        </w:rPr>
        <w:t>, for the first time,</w:t>
      </w:r>
      <w:r w:rsidR="00214E0D" w:rsidRPr="004B502E">
        <w:rPr>
          <w:rFonts w:ascii="Times New Roman" w:hAnsi="Times New Roman" w:cs="Times New Roman"/>
          <w:sz w:val="24"/>
          <w:szCs w:val="24"/>
        </w:rPr>
        <w:t xml:space="preserve"> divided</w:t>
      </w:r>
      <w:r w:rsidR="005F2148" w:rsidRPr="004B502E">
        <w:rPr>
          <w:rFonts w:ascii="Times New Roman" w:hAnsi="Times New Roman" w:cs="Times New Roman"/>
          <w:sz w:val="24"/>
          <w:szCs w:val="24"/>
        </w:rPr>
        <w:t xml:space="preserve"> the banking ratios into two categories: internal and external ratios.</w:t>
      </w:r>
      <w:r w:rsidR="00036CCF" w:rsidRPr="004B502E">
        <w:rPr>
          <w:rFonts w:ascii="Times New Roman" w:hAnsi="Times New Roman" w:cs="Times New Roman"/>
          <w:sz w:val="24"/>
          <w:szCs w:val="24"/>
        </w:rPr>
        <w:t xml:space="preserve"> </w:t>
      </w:r>
      <w:r w:rsidR="00214E0D" w:rsidRPr="004B502E">
        <w:rPr>
          <w:rFonts w:ascii="Times New Roman" w:hAnsi="Times New Roman" w:cs="Times New Roman"/>
          <w:sz w:val="24"/>
          <w:szCs w:val="24"/>
        </w:rPr>
        <w:t xml:space="preserve">In the end, </w:t>
      </w:r>
      <w:r w:rsidR="00036CCF" w:rsidRPr="004B502E">
        <w:rPr>
          <w:rFonts w:ascii="Times New Roman" w:hAnsi="Times New Roman" w:cs="Times New Roman"/>
          <w:sz w:val="24"/>
          <w:szCs w:val="24"/>
        </w:rPr>
        <w:t xml:space="preserve">Bourke </w:t>
      </w:r>
      <w:r w:rsidR="00214E0D" w:rsidRPr="004B502E">
        <w:rPr>
          <w:rFonts w:ascii="Times New Roman" w:hAnsi="Times New Roman" w:cs="Times New Roman"/>
          <w:sz w:val="24"/>
          <w:szCs w:val="24"/>
        </w:rPr>
        <w:t>confirmed the findings obtained by</w:t>
      </w:r>
      <w:r w:rsidR="009E4546" w:rsidRPr="004B502E">
        <w:rPr>
          <w:rFonts w:ascii="Times New Roman" w:hAnsi="Times New Roman" w:cs="Times New Roman"/>
          <w:sz w:val="24"/>
          <w:szCs w:val="24"/>
        </w:rPr>
        <w:t xml:space="preserve"> Short </w:t>
      </w:r>
      <w:r w:rsidR="00B71708">
        <w:rPr>
          <w:rFonts w:ascii="Times New Roman" w:hAnsi="Times New Roman" w:cs="Times New Roman"/>
          <w:sz w:val="24"/>
          <w:szCs w:val="24"/>
        </w:rPr>
        <w:t>with</w:t>
      </w:r>
      <w:r w:rsidR="00B71708" w:rsidRPr="004B502E">
        <w:rPr>
          <w:rFonts w:ascii="Times New Roman" w:hAnsi="Times New Roman" w:cs="Times New Roman"/>
          <w:sz w:val="24"/>
          <w:szCs w:val="24"/>
        </w:rPr>
        <w:t xml:space="preserve"> </w:t>
      </w:r>
      <w:r w:rsidR="00036CCF" w:rsidRPr="004B502E">
        <w:rPr>
          <w:rFonts w:ascii="Times New Roman" w:hAnsi="Times New Roman" w:cs="Times New Roman"/>
          <w:sz w:val="24"/>
          <w:szCs w:val="24"/>
        </w:rPr>
        <w:t xml:space="preserve">regard to </w:t>
      </w:r>
      <w:r w:rsidR="00952014" w:rsidRPr="004B502E">
        <w:rPr>
          <w:rFonts w:ascii="Times New Roman" w:hAnsi="Times New Roman" w:cs="Times New Roman"/>
          <w:sz w:val="24"/>
          <w:szCs w:val="24"/>
        </w:rPr>
        <w:t xml:space="preserve">the </w:t>
      </w:r>
      <w:r w:rsidR="00857EDC" w:rsidRPr="004B502E">
        <w:rPr>
          <w:rFonts w:ascii="Times New Roman" w:hAnsi="Times New Roman" w:cs="Times New Roman"/>
          <w:sz w:val="24"/>
          <w:szCs w:val="24"/>
        </w:rPr>
        <w:t>concentration variable</w:t>
      </w:r>
      <w:r w:rsidR="00036CCF" w:rsidRPr="004B502E">
        <w:rPr>
          <w:rFonts w:ascii="Times New Roman" w:hAnsi="Times New Roman" w:cs="Times New Roman"/>
          <w:sz w:val="24"/>
          <w:szCs w:val="24"/>
        </w:rPr>
        <w:t>.</w:t>
      </w:r>
    </w:p>
    <w:p w:rsidR="00D921F6" w:rsidRPr="004B502E" w:rsidRDefault="00036CCF" w:rsidP="00036CCF">
      <w:pPr>
        <w:spacing w:line="480" w:lineRule="auto"/>
        <w:ind w:firstLine="720"/>
        <w:rPr>
          <w:rFonts w:ascii="Times New Roman" w:hAnsi="Times New Roman" w:cs="Times New Roman"/>
          <w:sz w:val="24"/>
          <w:szCs w:val="24"/>
        </w:rPr>
      </w:pPr>
      <w:r w:rsidRPr="004B502E">
        <w:rPr>
          <w:rFonts w:ascii="Times New Roman" w:hAnsi="Times New Roman" w:cs="Times New Roman"/>
          <w:sz w:val="24"/>
          <w:szCs w:val="24"/>
        </w:rPr>
        <w:t xml:space="preserve">There are </w:t>
      </w:r>
      <w:r w:rsidR="00214E0D" w:rsidRPr="004B502E">
        <w:rPr>
          <w:rFonts w:ascii="Times New Roman" w:hAnsi="Times New Roman" w:cs="Times New Roman"/>
          <w:sz w:val="24"/>
          <w:szCs w:val="24"/>
        </w:rPr>
        <w:t xml:space="preserve">many </w:t>
      </w:r>
      <w:r w:rsidRPr="004B502E">
        <w:rPr>
          <w:rFonts w:ascii="Times New Roman" w:hAnsi="Times New Roman" w:cs="Times New Roman"/>
          <w:sz w:val="24"/>
          <w:szCs w:val="24"/>
        </w:rPr>
        <w:t>other p</w:t>
      </w:r>
      <w:r w:rsidR="000F1A66" w:rsidRPr="004B502E">
        <w:rPr>
          <w:rFonts w:ascii="Times New Roman" w:hAnsi="Times New Roman" w:cs="Times New Roman"/>
          <w:sz w:val="24"/>
          <w:szCs w:val="24"/>
        </w:rPr>
        <w:t xml:space="preserve">rofitability studies conducted </w:t>
      </w:r>
      <w:r w:rsidR="00214E0D" w:rsidRPr="004B502E">
        <w:rPr>
          <w:rFonts w:ascii="Times New Roman" w:hAnsi="Times New Roman" w:cs="Times New Roman"/>
          <w:sz w:val="24"/>
          <w:szCs w:val="24"/>
        </w:rPr>
        <w:t xml:space="preserve">on conventional banks (e.g., </w:t>
      </w:r>
      <w:r w:rsidR="000F1A66" w:rsidRPr="004B502E">
        <w:rPr>
          <w:rFonts w:ascii="Times New Roman" w:hAnsi="Times New Roman" w:cs="Times New Roman"/>
          <w:sz w:val="24"/>
          <w:szCs w:val="24"/>
        </w:rPr>
        <w:t>Naceur</w:t>
      </w:r>
      <w:r w:rsidR="00214E0D" w:rsidRPr="004B502E">
        <w:rPr>
          <w:rFonts w:ascii="Times New Roman" w:hAnsi="Times New Roman" w:cs="Times New Roman"/>
          <w:sz w:val="24"/>
          <w:szCs w:val="24"/>
        </w:rPr>
        <w:t xml:space="preserve">, 2003; </w:t>
      </w:r>
      <w:r w:rsidR="000F1A66" w:rsidRPr="004B502E">
        <w:rPr>
          <w:rFonts w:ascii="Times New Roman" w:hAnsi="Times New Roman" w:cs="Times New Roman"/>
          <w:sz w:val="24"/>
          <w:szCs w:val="24"/>
        </w:rPr>
        <w:t xml:space="preserve">Portela </w:t>
      </w:r>
      <w:r w:rsidR="00B71708">
        <w:rPr>
          <w:rFonts w:ascii="Times New Roman" w:hAnsi="Times New Roman" w:cs="Times New Roman"/>
          <w:sz w:val="24"/>
          <w:szCs w:val="24"/>
        </w:rPr>
        <w:t>&amp;</w:t>
      </w:r>
      <w:r w:rsidR="00B71708" w:rsidRPr="004B502E">
        <w:rPr>
          <w:rFonts w:ascii="Times New Roman" w:hAnsi="Times New Roman" w:cs="Times New Roman"/>
          <w:sz w:val="24"/>
          <w:szCs w:val="24"/>
        </w:rPr>
        <w:t xml:space="preserve"> </w:t>
      </w:r>
      <w:r w:rsidR="000F1A66" w:rsidRPr="004B502E">
        <w:rPr>
          <w:rFonts w:ascii="Times New Roman" w:hAnsi="Times New Roman" w:cs="Times New Roman"/>
          <w:sz w:val="24"/>
          <w:szCs w:val="24"/>
        </w:rPr>
        <w:t>Thanassoulis</w:t>
      </w:r>
      <w:r w:rsidR="00214E0D" w:rsidRPr="004B502E">
        <w:rPr>
          <w:rFonts w:ascii="Times New Roman" w:hAnsi="Times New Roman" w:cs="Times New Roman"/>
          <w:sz w:val="24"/>
          <w:szCs w:val="24"/>
        </w:rPr>
        <w:t xml:space="preserve">, </w:t>
      </w:r>
      <w:r w:rsidR="000F1A66" w:rsidRPr="004B502E">
        <w:rPr>
          <w:rFonts w:ascii="Times New Roman" w:hAnsi="Times New Roman" w:cs="Times New Roman"/>
          <w:sz w:val="24"/>
          <w:szCs w:val="24"/>
        </w:rPr>
        <w:t>2005</w:t>
      </w:r>
      <w:r w:rsidR="00B71708">
        <w:rPr>
          <w:rFonts w:ascii="Times New Roman" w:hAnsi="Times New Roman" w:cs="Times New Roman"/>
          <w:sz w:val="24"/>
          <w:szCs w:val="24"/>
        </w:rPr>
        <w:t>;</w:t>
      </w:r>
      <w:r w:rsidR="00B71708" w:rsidRPr="00B71708">
        <w:rPr>
          <w:rFonts w:ascii="Times New Roman" w:hAnsi="Times New Roman" w:cs="Times New Roman"/>
          <w:sz w:val="24"/>
          <w:szCs w:val="24"/>
        </w:rPr>
        <w:t xml:space="preserve"> </w:t>
      </w:r>
      <w:r w:rsidR="00B71708" w:rsidRPr="004B502E">
        <w:rPr>
          <w:rFonts w:ascii="Times New Roman" w:hAnsi="Times New Roman" w:cs="Times New Roman"/>
          <w:sz w:val="24"/>
          <w:szCs w:val="24"/>
        </w:rPr>
        <w:t>Spathis, Kosmidou</w:t>
      </w:r>
      <w:r w:rsidR="00B71708">
        <w:rPr>
          <w:rFonts w:ascii="Times New Roman" w:hAnsi="Times New Roman" w:cs="Times New Roman"/>
          <w:sz w:val="24"/>
          <w:szCs w:val="24"/>
        </w:rPr>
        <w:t>,</w:t>
      </w:r>
      <w:r w:rsidR="00B71708" w:rsidRPr="004B502E">
        <w:rPr>
          <w:rFonts w:ascii="Times New Roman" w:hAnsi="Times New Roman" w:cs="Times New Roman"/>
          <w:sz w:val="24"/>
          <w:szCs w:val="24"/>
        </w:rPr>
        <w:t xml:space="preserve"> &amp; Doumpos, 2002</w:t>
      </w:r>
      <w:r w:rsidR="000F1A66" w:rsidRPr="004B502E">
        <w:rPr>
          <w:rFonts w:ascii="Times New Roman" w:hAnsi="Times New Roman" w:cs="Times New Roman"/>
          <w:sz w:val="24"/>
          <w:szCs w:val="24"/>
        </w:rPr>
        <w:t>)</w:t>
      </w:r>
      <w:r w:rsidR="00214E0D" w:rsidRPr="004B502E">
        <w:rPr>
          <w:rFonts w:ascii="Times New Roman" w:hAnsi="Times New Roman" w:cs="Times New Roman"/>
          <w:sz w:val="24"/>
          <w:szCs w:val="24"/>
        </w:rPr>
        <w:t>.</w:t>
      </w:r>
      <w:r w:rsidR="000F1A66" w:rsidRPr="004B502E">
        <w:rPr>
          <w:rFonts w:ascii="Times New Roman" w:hAnsi="Times New Roman" w:cs="Times New Roman"/>
          <w:sz w:val="24"/>
          <w:szCs w:val="24"/>
        </w:rPr>
        <w:t xml:space="preserve"> </w:t>
      </w:r>
      <w:r w:rsidR="00214E0D" w:rsidRPr="004B502E">
        <w:rPr>
          <w:rFonts w:ascii="Times New Roman" w:hAnsi="Times New Roman" w:cs="Times New Roman"/>
          <w:sz w:val="24"/>
          <w:szCs w:val="24"/>
        </w:rPr>
        <w:t>How</w:t>
      </w:r>
      <w:r w:rsidR="005F2148" w:rsidRPr="004B502E">
        <w:rPr>
          <w:rFonts w:ascii="Times New Roman" w:hAnsi="Times New Roman" w:cs="Times New Roman"/>
          <w:sz w:val="24"/>
          <w:szCs w:val="24"/>
        </w:rPr>
        <w:t>ever</w:t>
      </w:r>
      <w:r w:rsidR="00214E0D" w:rsidRPr="004B502E">
        <w:rPr>
          <w:rFonts w:ascii="Times New Roman" w:hAnsi="Times New Roman" w:cs="Times New Roman"/>
          <w:sz w:val="24"/>
          <w:szCs w:val="24"/>
        </w:rPr>
        <w:t>,</w:t>
      </w:r>
      <w:r w:rsidR="005F2148" w:rsidRPr="004B502E">
        <w:rPr>
          <w:rFonts w:ascii="Times New Roman" w:hAnsi="Times New Roman" w:cs="Times New Roman"/>
          <w:sz w:val="24"/>
          <w:szCs w:val="24"/>
        </w:rPr>
        <w:t xml:space="preserve"> cons</w:t>
      </w:r>
      <w:r w:rsidR="00214E0D" w:rsidRPr="004B502E">
        <w:rPr>
          <w:rFonts w:ascii="Times New Roman" w:hAnsi="Times New Roman" w:cs="Times New Roman"/>
          <w:sz w:val="24"/>
          <w:szCs w:val="24"/>
        </w:rPr>
        <w:t xml:space="preserve">idering the scope of our study </w:t>
      </w:r>
      <w:r w:rsidR="00C03865">
        <w:rPr>
          <w:rFonts w:ascii="Times New Roman" w:hAnsi="Times New Roman" w:cs="Times New Roman"/>
          <w:sz w:val="24"/>
          <w:szCs w:val="24"/>
        </w:rPr>
        <w:t>we will</w:t>
      </w:r>
      <w:r w:rsidR="005F2148" w:rsidRPr="004B502E">
        <w:rPr>
          <w:rFonts w:ascii="Times New Roman" w:hAnsi="Times New Roman" w:cs="Times New Roman"/>
          <w:sz w:val="24"/>
          <w:szCs w:val="24"/>
        </w:rPr>
        <w:t xml:space="preserve"> focus </w:t>
      </w:r>
      <w:r w:rsidR="00214E0D" w:rsidRPr="004B502E">
        <w:rPr>
          <w:rFonts w:ascii="Times New Roman" w:hAnsi="Times New Roman" w:cs="Times New Roman"/>
          <w:sz w:val="24"/>
          <w:szCs w:val="24"/>
        </w:rPr>
        <w:t>only</w:t>
      </w:r>
      <w:r w:rsidR="00AD5FCF" w:rsidRPr="004B502E">
        <w:rPr>
          <w:rFonts w:ascii="Times New Roman" w:hAnsi="Times New Roman" w:cs="Times New Roman"/>
          <w:sz w:val="24"/>
          <w:szCs w:val="24"/>
        </w:rPr>
        <w:t xml:space="preserve"> </w:t>
      </w:r>
      <w:r w:rsidR="005F2148" w:rsidRPr="004B502E">
        <w:rPr>
          <w:rFonts w:ascii="Times New Roman" w:hAnsi="Times New Roman" w:cs="Times New Roman"/>
          <w:sz w:val="24"/>
          <w:szCs w:val="24"/>
        </w:rPr>
        <w:t xml:space="preserve">on </w:t>
      </w:r>
      <w:r w:rsidR="00852351">
        <w:rPr>
          <w:rFonts w:ascii="Times New Roman" w:hAnsi="Times New Roman" w:cs="Times New Roman"/>
          <w:sz w:val="24"/>
          <w:szCs w:val="24"/>
        </w:rPr>
        <w:t>Islamic banks</w:t>
      </w:r>
      <w:r w:rsidR="005F2148" w:rsidRPr="004B502E">
        <w:rPr>
          <w:rFonts w:ascii="Times New Roman" w:hAnsi="Times New Roman" w:cs="Times New Roman"/>
          <w:sz w:val="24"/>
          <w:szCs w:val="24"/>
        </w:rPr>
        <w:t>.</w:t>
      </w:r>
    </w:p>
    <w:p w:rsidR="005F2148" w:rsidRPr="001D4AB4" w:rsidRDefault="00B418B5" w:rsidP="001D4AB4">
      <w:pPr>
        <w:pStyle w:val="Heading2"/>
        <w:spacing w:line="480" w:lineRule="auto"/>
        <w:rPr>
          <w:rFonts w:ascii="Times New Roman" w:hAnsi="Times New Roman" w:cs="Times New Roman"/>
          <w:color w:val="auto"/>
          <w:sz w:val="24"/>
        </w:rPr>
      </w:pPr>
      <w:bookmarkStart w:id="11" w:name="_Toc346718431"/>
      <w:r>
        <w:rPr>
          <w:rFonts w:ascii="Times New Roman" w:hAnsi="Times New Roman" w:cs="Times New Roman"/>
          <w:color w:val="auto"/>
          <w:sz w:val="24"/>
        </w:rPr>
        <w:t xml:space="preserve">2.2. </w:t>
      </w:r>
      <w:r w:rsidR="00D921F6" w:rsidRPr="001D4AB4">
        <w:rPr>
          <w:rFonts w:ascii="Times New Roman" w:hAnsi="Times New Roman" w:cs="Times New Roman"/>
          <w:color w:val="auto"/>
          <w:sz w:val="24"/>
        </w:rPr>
        <w:t xml:space="preserve">Studies Conducted on </w:t>
      </w:r>
      <w:r w:rsidR="00852351">
        <w:rPr>
          <w:rFonts w:ascii="Times New Roman" w:hAnsi="Times New Roman" w:cs="Times New Roman"/>
          <w:color w:val="auto"/>
          <w:sz w:val="24"/>
        </w:rPr>
        <w:t xml:space="preserve">Islamic </w:t>
      </w:r>
      <w:r w:rsidR="00896431">
        <w:rPr>
          <w:rFonts w:ascii="Times New Roman" w:hAnsi="Times New Roman" w:cs="Times New Roman"/>
          <w:color w:val="auto"/>
          <w:sz w:val="24"/>
        </w:rPr>
        <w:t>B</w:t>
      </w:r>
      <w:r w:rsidR="00852351">
        <w:rPr>
          <w:rFonts w:ascii="Times New Roman" w:hAnsi="Times New Roman" w:cs="Times New Roman"/>
          <w:color w:val="auto"/>
          <w:sz w:val="24"/>
        </w:rPr>
        <w:t>anks</w:t>
      </w:r>
      <w:bookmarkEnd w:id="11"/>
    </w:p>
    <w:p w:rsidR="009D6AFF" w:rsidRPr="004B502E" w:rsidRDefault="00EF14F9" w:rsidP="009D6AFF">
      <w:pPr>
        <w:spacing w:line="480" w:lineRule="auto"/>
        <w:ind w:firstLine="720"/>
        <w:rPr>
          <w:rFonts w:ascii="Times New Roman" w:hAnsi="Times New Roman" w:cs="Times New Roman"/>
          <w:sz w:val="24"/>
          <w:szCs w:val="24"/>
        </w:rPr>
      </w:pPr>
      <w:r w:rsidRPr="004B502E">
        <w:rPr>
          <w:rFonts w:ascii="Times New Roman" w:hAnsi="Times New Roman" w:cs="Times New Roman"/>
          <w:sz w:val="24"/>
          <w:szCs w:val="24"/>
        </w:rPr>
        <w:t>Com</w:t>
      </w:r>
      <w:r w:rsidR="00E94238" w:rsidRPr="004B502E">
        <w:rPr>
          <w:rFonts w:ascii="Times New Roman" w:hAnsi="Times New Roman" w:cs="Times New Roman"/>
          <w:sz w:val="24"/>
          <w:szCs w:val="24"/>
        </w:rPr>
        <w:t xml:space="preserve">pared with conventional banks, few profitability </w:t>
      </w:r>
      <w:r w:rsidR="009D6AFF" w:rsidRPr="004B502E">
        <w:rPr>
          <w:rFonts w:ascii="Times New Roman" w:hAnsi="Times New Roman" w:cs="Times New Roman"/>
          <w:sz w:val="24"/>
          <w:szCs w:val="24"/>
        </w:rPr>
        <w:t>studies</w:t>
      </w:r>
      <w:r w:rsidR="00E94238" w:rsidRPr="004B502E">
        <w:rPr>
          <w:rFonts w:ascii="Times New Roman" w:hAnsi="Times New Roman" w:cs="Times New Roman"/>
          <w:sz w:val="24"/>
          <w:szCs w:val="24"/>
        </w:rPr>
        <w:t xml:space="preserve"> </w:t>
      </w:r>
      <w:r w:rsidR="00B71708">
        <w:rPr>
          <w:rFonts w:ascii="Times New Roman" w:hAnsi="Times New Roman" w:cs="Times New Roman"/>
          <w:sz w:val="24"/>
          <w:szCs w:val="24"/>
        </w:rPr>
        <w:t>have been</w:t>
      </w:r>
      <w:r w:rsidR="00B71708" w:rsidRPr="004B502E">
        <w:rPr>
          <w:rFonts w:ascii="Times New Roman" w:hAnsi="Times New Roman" w:cs="Times New Roman"/>
          <w:sz w:val="24"/>
          <w:szCs w:val="24"/>
        </w:rPr>
        <w:t xml:space="preserve"> </w:t>
      </w:r>
      <w:r w:rsidR="00AD5FCF" w:rsidRPr="004B502E">
        <w:rPr>
          <w:rFonts w:ascii="Times New Roman" w:hAnsi="Times New Roman" w:cs="Times New Roman"/>
          <w:sz w:val="24"/>
          <w:szCs w:val="24"/>
        </w:rPr>
        <w:t xml:space="preserve">conducted on </w:t>
      </w:r>
      <w:r w:rsidR="00852351">
        <w:rPr>
          <w:rFonts w:ascii="Times New Roman" w:hAnsi="Times New Roman" w:cs="Times New Roman"/>
          <w:sz w:val="24"/>
          <w:szCs w:val="24"/>
        </w:rPr>
        <w:t>Islamic banks</w:t>
      </w:r>
      <w:r w:rsidR="00AD5FCF" w:rsidRPr="004B502E">
        <w:rPr>
          <w:rFonts w:ascii="Times New Roman" w:hAnsi="Times New Roman" w:cs="Times New Roman"/>
          <w:sz w:val="24"/>
          <w:szCs w:val="24"/>
        </w:rPr>
        <w:t>.</w:t>
      </w:r>
      <w:r w:rsidR="009D6AFF" w:rsidRPr="004B502E">
        <w:rPr>
          <w:rFonts w:ascii="Times New Roman" w:hAnsi="Times New Roman" w:cs="Times New Roman"/>
          <w:sz w:val="24"/>
          <w:szCs w:val="24"/>
        </w:rPr>
        <w:t xml:space="preserve"> The common feature</w:t>
      </w:r>
      <w:r w:rsidRPr="004B502E">
        <w:rPr>
          <w:rFonts w:ascii="Times New Roman" w:hAnsi="Times New Roman" w:cs="Times New Roman"/>
          <w:sz w:val="24"/>
          <w:szCs w:val="24"/>
        </w:rPr>
        <w:t xml:space="preserve"> </w:t>
      </w:r>
      <w:r w:rsidR="00AD5FCF" w:rsidRPr="004B502E">
        <w:rPr>
          <w:rFonts w:ascii="Times New Roman" w:hAnsi="Times New Roman" w:cs="Times New Roman"/>
          <w:sz w:val="24"/>
          <w:szCs w:val="24"/>
        </w:rPr>
        <w:t xml:space="preserve">of </w:t>
      </w:r>
      <w:r w:rsidR="009E4546" w:rsidRPr="004B502E">
        <w:rPr>
          <w:rFonts w:ascii="Times New Roman" w:hAnsi="Times New Roman" w:cs="Times New Roman"/>
          <w:sz w:val="24"/>
          <w:szCs w:val="24"/>
        </w:rPr>
        <w:t xml:space="preserve">those </w:t>
      </w:r>
      <w:r w:rsidR="009D6AFF" w:rsidRPr="004B502E">
        <w:rPr>
          <w:rFonts w:ascii="Times New Roman" w:hAnsi="Times New Roman" w:cs="Times New Roman"/>
          <w:sz w:val="24"/>
          <w:szCs w:val="24"/>
        </w:rPr>
        <w:t xml:space="preserve">studies is that they </w:t>
      </w:r>
      <w:r w:rsidR="00AD5FCF" w:rsidRPr="004B502E">
        <w:rPr>
          <w:rFonts w:ascii="Times New Roman" w:hAnsi="Times New Roman" w:cs="Times New Roman"/>
          <w:sz w:val="24"/>
          <w:szCs w:val="24"/>
        </w:rPr>
        <w:t xml:space="preserve">generally </w:t>
      </w:r>
      <w:r w:rsidR="009D6AFF" w:rsidRPr="004B502E">
        <w:rPr>
          <w:rFonts w:ascii="Times New Roman" w:hAnsi="Times New Roman" w:cs="Times New Roman"/>
          <w:sz w:val="24"/>
          <w:szCs w:val="24"/>
        </w:rPr>
        <w:t xml:space="preserve">cover </w:t>
      </w:r>
      <w:r w:rsidR="00852351">
        <w:rPr>
          <w:rFonts w:ascii="Times New Roman" w:hAnsi="Times New Roman" w:cs="Times New Roman"/>
          <w:sz w:val="24"/>
          <w:szCs w:val="24"/>
        </w:rPr>
        <w:t>Islamic banks</w:t>
      </w:r>
      <w:r w:rsidR="009D6AFF" w:rsidRPr="004B502E">
        <w:rPr>
          <w:rFonts w:ascii="Times New Roman" w:hAnsi="Times New Roman" w:cs="Times New Roman"/>
          <w:sz w:val="24"/>
          <w:szCs w:val="24"/>
        </w:rPr>
        <w:t xml:space="preserve"> of </w:t>
      </w:r>
      <w:r w:rsidR="00A05417" w:rsidRPr="004B502E">
        <w:rPr>
          <w:rFonts w:ascii="Times New Roman" w:hAnsi="Times New Roman" w:cs="Times New Roman"/>
          <w:sz w:val="24"/>
          <w:szCs w:val="24"/>
        </w:rPr>
        <w:t xml:space="preserve">the </w:t>
      </w:r>
      <w:r w:rsidR="005E7D9D">
        <w:rPr>
          <w:rFonts w:ascii="Times New Roman" w:hAnsi="Times New Roman" w:cs="Times New Roman"/>
          <w:sz w:val="24"/>
          <w:szCs w:val="24"/>
        </w:rPr>
        <w:t xml:space="preserve">Middle East and North Africa (MENA) </w:t>
      </w:r>
      <w:r w:rsidRPr="004B502E">
        <w:rPr>
          <w:rFonts w:ascii="Times New Roman" w:hAnsi="Times New Roman" w:cs="Times New Roman"/>
          <w:sz w:val="24"/>
          <w:szCs w:val="24"/>
        </w:rPr>
        <w:t>region.</w:t>
      </w:r>
      <w:r w:rsidR="00AD5FCF" w:rsidRPr="004B502E">
        <w:rPr>
          <w:rFonts w:ascii="Times New Roman" w:hAnsi="Times New Roman" w:cs="Times New Roman"/>
          <w:sz w:val="24"/>
          <w:szCs w:val="24"/>
        </w:rPr>
        <w:t xml:space="preserve"> </w:t>
      </w:r>
    </w:p>
    <w:p w:rsidR="0021162E" w:rsidRPr="004B502E" w:rsidRDefault="006C0B9D" w:rsidP="006C5F3C">
      <w:pPr>
        <w:spacing w:line="480" w:lineRule="auto"/>
        <w:ind w:firstLine="720"/>
        <w:rPr>
          <w:rFonts w:ascii="Times New Roman" w:hAnsi="Times New Roman" w:cs="Times New Roman"/>
          <w:sz w:val="24"/>
          <w:szCs w:val="24"/>
        </w:rPr>
      </w:pPr>
      <w:r w:rsidRPr="004B502E">
        <w:rPr>
          <w:rFonts w:ascii="Times New Roman" w:hAnsi="Times New Roman" w:cs="Times New Roman"/>
          <w:sz w:val="24"/>
          <w:szCs w:val="24"/>
        </w:rPr>
        <w:t xml:space="preserve">Haron (1996) conducted </w:t>
      </w:r>
      <w:r>
        <w:rPr>
          <w:rFonts w:ascii="Times New Roman" w:hAnsi="Times New Roman" w:cs="Times New Roman"/>
          <w:sz w:val="24"/>
          <w:szCs w:val="24"/>
        </w:rPr>
        <w:t>t</w:t>
      </w:r>
      <w:r w:rsidR="0021162E" w:rsidRPr="004B502E">
        <w:rPr>
          <w:rFonts w:ascii="Times New Roman" w:hAnsi="Times New Roman" w:cs="Times New Roman"/>
          <w:sz w:val="24"/>
          <w:szCs w:val="24"/>
        </w:rPr>
        <w:t>he first know</w:t>
      </w:r>
      <w:r w:rsidR="009E4546" w:rsidRPr="004B502E">
        <w:rPr>
          <w:rFonts w:ascii="Times New Roman" w:hAnsi="Times New Roman" w:cs="Times New Roman"/>
          <w:sz w:val="24"/>
          <w:szCs w:val="24"/>
        </w:rPr>
        <w:t>n</w:t>
      </w:r>
      <w:r w:rsidR="0021162E" w:rsidRPr="004B502E">
        <w:rPr>
          <w:rFonts w:ascii="Times New Roman" w:hAnsi="Times New Roman" w:cs="Times New Roman"/>
          <w:sz w:val="24"/>
          <w:szCs w:val="24"/>
        </w:rPr>
        <w:t xml:space="preserve"> profitab</w:t>
      </w:r>
      <w:r w:rsidR="009E4546" w:rsidRPr="004B502E">
        <w:rPr>
          <w:rFonts w:ascii="Times New Roman" w:hAnsi="Times New Roman" w:cs="Times New Roman"/>
          <w:sz w:val="24"/>
          <w:szCs w:val="24"/>
        </w:rPr>
        <w:t xml:space="preserve">ility study </w:t>
      </w:r>
      <w:r>
        <w:rPr>
          <w:rFonts w:ascii="Times New Roman" w:hAnsi="Times New Roman" w:cs="Times New Roman"/>
          <w:sz w:val="24"/>
          <w:szCs w:val="24"/>
        </w:rPr>
        <w:t>of</w:t>
      </w:r>
      <w:r w:rsidRPr="004B502E">
        <w:rPr>
          <w:rFonts w:ascii="Times New Roman" w:hAnsi="Times New Roman" w:cs="Times New Roman"/>
          <w:sz w:val="24"/>
          <w:szCs w:val="24"/>
        </w:rPr>
        <w:t xml:space="preserve"> </w:t>
      </w:r>
      <w:r w:rsidR="00852351">
        <w:rPr>
          <w:rFonts w:ascii="Times New Roman" w:hAnsi="Times New Roman" w:cs="Times New Roman"/>
          <w:sz w:val="24"/>
          <w:szCs w:val="24"/>
        </w:rPr>
        <w:t>Islamic banks</w:t>
      </w:r>
      <w:r w:rsidR="0021162E" w:rsidRPr="004B502E">
        <w:rPr>
          <w:rFonts w:ascii="Times New Roman" w:hAnsi="Times New Roman" w:cs="Times New Roman"/>
          <w:sz w:val="24"/>
          <w:szCs w:val="24"/>
        </w:rPr>
        <w:t xml:space="preserve"> where </w:t>
      </w:r>
      <w:r w:rsidR="00A05417" w:rsidRPr="004B502E">
        <w:rPr>
          <w:rFonts w:ascii="Times New Roman" w:hAnsi="Times New Roman" w:cs="Times New Roman"/>
          <w:sz w:val="24"/>
          <w:szCs w:val="24"/>
        </w:rPr>
        <w:t xml:space="preserve">he </w:t>
      </w:r>
      <w:r w:rsidR="009E4546" w:rsidRPr="004B502E">
        <w:rPr>
          <w:rFonts w:ascii="Times New Roman" w:hAnsi="Times New Roman" w:cs="Times New Roman"/>
          <w:sz w:val="24"/>
          <w:szCs w:val="24"/>
        </w:rPr>
        <w:t xml:space="preserve">analyzed the impact </w:t>
      </w:r>
      <w:r w:rsidR="0021162E" w:rsidRPr="004B502E">
        <w:rPr>
          <w:rFonts w:ascii="Times New Roman" w:hAnsi="Times New Roman" w:cs="Times New Roman"/>
          <w:sz w:val="24"/>
          <w:szCs w:val="24"/>
        </w:rPr>
        <w:t>of the external set of variables (i.e. inflation</w:t>
      </w:r>
      <w:r w:rsidR="005E7D9D">
        <w:rPr>
          <w:rFonts w:ascii="Times New Roman" w:hAnsi="Times New Roman" w:cs="Times New Roman"/>
          <w:sz w:val="24"/>
          <w:szCs w:val="24"/>
        </w:rPr>
        <w:t xml:space="preserve"> rate</w:t>
      </w:r>
      <w:r w:rsidR="0021162E" w:rsidRPr="004B502E">
        <w:rPr>
          <w:rFonts w:ascii="Times New Roman" w:hAnsi="Times New Roman" w:cs="Times New Roman"/>
          <w:sz w:val="24"/>
          <w:szCs w:val="24"/>
        </w:rPr>
        <w:t xml:space="preserve">, market dummy variable, growth in money supply, market share, the discount rate) on the performance of </w:t>
      </w:r>
      <w:r w:rsidR="00852351">
        <w:rPr>
          <w:rFonts w:ascii="Times New Roman" w:hAnsi="Times New Roman" w:cs="Times New Roman"/>
          <w:sz w:val="24"/>
          <w:szCs w:val="24"/>
        </w:rPr>
        <w:t>Islamic banks</w:t>
      </w:r>
      <w:r w:rsidR="0021162E" w:rsidRPr="004B502E">
        <w:rPr>
          <w:rFonts w:ascii="Times New Roman" w:hAnsi="Times New Roman" w:cs="Times New Roman"/>
          <w:sz w:val="24"/>
          <w:szCs w:val="24"/>
        </w:rPr>
        <w:t xml:space="preserve">. </w:t>
      </w:r>
      <w:r w:rsidR="005B001F" w:rsidRPr="004B502E">
        <w:rPr>
          <w:rFonts w:ascii="Times New Roman" w:hAnsi="Times New Roman" w:cs="Times New Roman"/>
          <w:sz w:val="24"/>
          <w:szCs w:val="24"/>
        </w:rPr>
        <w:t xml:space="preserve">After </w:t>
      </w:r>
      <w:r w:rsidR="00A05417" w:rsidRPr="004B502E">
        <w:rPr>
          <w:rFonts w:ascii="Times New Roman" w:hAnsi="Times New Roman" w:cs="Times New Roman"/>
          <w:sz w:val="24"/>
          <w:szCs w:val="24"/>
        </w:rPr>
        <w:t xml:space="preserve">using the </w:t>
      </w:r>
      <w:r w:rsidR="005B001F" w:rsidRPr="004B502E">
        <w:rPr>
          <w:rFonts w:ascii="Times New Roman" w:hAnsi="Times New Roman" w:cs="Times New Roman"/>
          <w:sz w:val="24"/>
          <w:szCs w:val="24"/>
        </w:rPr>
        <w:t>data</w:t>
      </w:r>
      <w:r>
        <w:rPr>
          <w:rFonts w:ascii="Times New Roman" w:hAnsi="Times New Roman" w:cs="Times New Roman"/>
          <w:sz w:val="24"/>
          <w:szCs w:val="24"/>
        </w:rPr>
        <w:t xml:space="preserve"> </w:t>
      </w:r>
      <w:r w:rsidR="0021162E" w:rsidRPr="004B502E">
        <w:rPr>
          <w:rFonts w:ascii="Times New Roman" w:hAnsi="Times New Roman" w:cs="Times New Roman"/>
          <w:sz w:val="24"/>
          <w:szCs w:val="24"/>
        </w:rPr>
        <w:t xml:space="preserve">set collected from 14 </w:t>
      </w:r>
      <w:r w:rsidR="00852351">
        <w:rPr>
          <w:rFonts w:ascii="Times New Roman" w:hAnsi="Times New Roman" w:cs="Times New Roman"/>
          <w:sz w:val="24"/>
          <w:szCs w:val="24"/>
        </w:rPr>
        <w:t>Islamic banks</w:t>
      </w:r>
      <w:r w:rsidR="009E4546" w:rsidRPr="004B502E">
        <w:rPr>
          <w:rFonts w:ascii="Times New Roman" w:hAnsi="Times New Roman" w:cs="Times New Roman"/>
          <w:sz w:val="24"/>
          <w:szCs w:val="24"/>
        </w:rPr>
        <w:t xml:space="preserve"> from 10 countries for the period from 1982 to</w:t>
      </w:r>
      <w:r w:rsidR="0021162E" w:rsidRPr="004B502E">
        <w:rPr>
          <w:rFonts w:ascii="Times New Roman" w:hAnsi="Times New Roman" w:cs="Times New Roman"/>
          <w:sz w:val="24"/>
          <w:szCs w:val="24"/>
        </w:rPr>
        <w:t xml:space="preserve"> </w:t>
      </w:r>
      <w:r w:rsidR="005B001F" w:rsidRPr="004B502E">
        <w:rPr>
          <w:rFonts w:ascii="Times New Roman" w:hAnsi="Times New Roman" w:cs="Times New Roman"/>
          <w:sz w:val="24"/>
          <w:szCs w:val="24"/>
        </w:rPr>
        <w:t>1994,</w:t>
      </w:r>
      <w:r w:rsidR="00A05417" w:rsidRPr="004B502E">
        <w:rPr>
          <w:rFonts w:ascii="Times New Roman" w:hAnsi="Times New Roman" w:cs="Times New Roman"/>
          <w:sz w:val="24"/>
          <w:szCs w:val="24"/>
        </w:rPr>
        <w:t xml:space="preserve"> the</w:t>
      </w:r>
      <w:r w:rsidR="005B001F" w:rsidRPr="004B502E">
        <w:rPr>
          <w:rFonts w:ascii="Times New Roman" w:hAnsi="Times New Roman" w:cs="Times New Roman"/>
          <w:sz w:val="24"/>
          <w:szCs w:val="24"/>
        </w:rPr>
        <w:t xml:space="preserve"> </w:t>
      </w:r>
      <w:r w:rsidR="0021162E" w:rsidRPr="004B502E">
        <w:rPr>
          <w:rFonts w:ascii="Times New Roman" w:hAnsi="Times New Roman" w:cs="Times New Roman"/>
          <w:sz w:val="24"/>
          <w:szCs w:val="24"/>
        </w:rPr>
        <w:t xml:space="preserve">author </w:t>
      </w:r>
      <w:r w:rsidR="009E4546" w:rsidRPr="004B502E">
        <w:rPr>
          <w:rFonts w:ascii="Times New Roman" w:hAnsi="Times New Roman" w:cs="Times New Roman"/>
          <w:sz w:val="24"/>
          <w:szCs w:val="24"/>
        </w:rPr>
        <w:t xml:space="preserve">concluded </w:t>
      </w:r>
      <w:r w:rsidR="0021162E" w:rsidRPr="004B502E">
        <w:rPr>
          <w:rFonts w:ascii="Times New Roman" w:hAnsi="Times New Roman" w:cs="Times New Roman"/>
          <w:sz w:val="24"/>
          <w:szCs w:val="24"/>
        </w:rPr>
        <w:t xml:space="preserve">that </w:t>
      </w:r>
      <w:r w:rsidR="00852351">
        <w:rPr>
          <w:rFonts w:ascii="Times New Roman" w:hAnsi="Times New Roman" w:cs="Times New Roman"/>
          <w:sz w:val="24"/>
          <w:szCs w:val="24"/>
        </w:rPr>
        <w:t>Islamic banks</w:t>
      </w:r>
      <w:r w:rsidR="0021162E" w:rsidRPr="004B502E">
        <w:rPr>
          <w:rFonts w:ascii="Times New Roman" w:hAnsi="Times New Roman" w:cs="Times New Roman"/>
          <w:sz w:val="24"/>
          <w:szCs w:val="24"/>
        </w:rPr>
        <w:t xml:space="preserve"> in competitive market</w:t>
      </w:r>
      <w:r>
        <w:rPr>
          <w:rFonts w:ascii="Times New Roman" w:hAnsi="Times New Roman" w:cs="Times New Roman"/>
          <w:sz w:val="24"/>
          <w:szCs w:val="24"/>
        </w:rPr>
        <w:t>s</w:t>
      </w:r>
      <w:r w:rsidR="0021162E" w:rsidRPr="004B502E">
        <w:rPr>
          <w:rFonts w:ascii="Times New Roman" w:hAnsi="Times New Roman" w:cs="Times New Roman"/>
          <w:sz w:val="24"/>
          <w:szCs w:val="24"/>
        </w:rPr>
        <w:t xml:space="preserve"> </w:t>
      </w:r>
      <w:r w:rsidR="005B001F" w:rsidRPr="004B502E">
        <w:rPr>
          <w:rFonts w:ascii="Times New Roman" w:hAnsi="Times New Roman" w:cs="Times New Roman"/>
          <w:sz w:val="24"/>
          <w:szCs w:val="24"/>
        </w:rPr>
        <w:t xml:space="preserve">perform better than in monopolistic markets. Furthermore, </w:t>
      </w:r>
      <w:r w:rsidR="009E4546" w:rsidRPr="004B502E">
        <w:rPr>
          <w:rFonts w:ascii="Times New Roman" w:hAnsi="Times New Roman" w:cs="Times New Roman"/>
          <w:sz w:val="24"/>
          <w:szCs w:val="24"/>
        </w:rPr>
        <w:t>according to the study results obtained by Haron,</w:t>
      </w:r>
      <w:r w:rsidR="005B001F" w:rsidRPr="004B502E">
        <w:rPr>
          <w:rFonts w:ascii="Times New Roman" w:hAnsi="Times New Roman" w:cs="Times New Roman"/>
          <w:sz w:val="24"/>
          <w:szCs w:val="24"/>
        </w:rPr>
        <w:t xml:space="preserve"> the PLS loans, the widely used financial instrument by </w:t>
      </w:r>
      <w:r w:rsidR="00852351">
        <w:rPr>
          <w:rFonts w:ascii="Times New Roman" w:hAnsi="Times New Roman" w:cs="Times New Roman"/>
          <w:sz w:val="24"/>
          <w:szCs w:val="24"/>
        </w:rPr>
        <w:t>Islamic banks</w:t>
      </w:r>
      <w:r w:rsidR="005B001F" w:rsidRPr="004B502E">
        <w:rPr>
          <w:rFonts w:ascii="Times New Roman" w:hAnsi="Times New Roman" w:cs="Times New Roman"/>
          <w:sz w:val="24"/>
          <w:szCs w:val="24"/>
        </w:rPr>
        <w:t xml:space="preserve">, </w:t>
      </w:r>
      <w:r w:rsidR="00A05417" w:rsidRPr="004B502E">
        <w:rPr>
          <w:rFonts w:ascii="Times New Roman" w:hAnsi="Times New Roman" w:cs="Times New Roman"/>
          <w:sz w:val="24"/>
          <w:szCs w:val="24"/>
        </w:rPr>
        <w:t xml:space="preserve">are </w:t>
      </w:r>
      <w:r w:rsidR="005B001F" w:rsidRPr="004B502E">
        <w:rPr>
          <w:rFonts w:ascii="Times New Roman" w:hAnsi="Times New Roman" w:cs="Times New Roman"/>
          <w:sz w:val="24"/>
          <w:szCs w:val="24"/>
        </w:rPr>
        <w:t xml:space="preserve">beneficial for all parties who engage in </w:t>
      </w:r>
      <w:r w:rsidR="00A05417" w:rsidRPr="004B502E">
        <w:rPr>
          <w:rFonts w:ascii="Times New Roman" w:hAnsi="Times New Roman" w:cs="Times New Roman"/>
          <w:sz w:val="24"/>
          <w:szCs w:val="24"/>
        </w:rPr>
        <w:t>them</w:t>
      </w:r>
      <w:r w:rsidR="005B001F" w:rsidRPr="004B502E">
        <w:rPr>
          <w:rFonts w:ascii="Times New Roman" w:hAnsi="Times New Roman" w:cs="Times New Roman"/>
          <w:sz w:val="24"/>
          <w:szCs w:val="24"/>
        </w:rPr>
        <w:t xml:space="preserve">.   </w:t>
      </w:r>
    </w:p>
    <w:p w:rsidR="006C5F3C" w:rsidRPr="004B502E" w:rsidRDefault="00335E95" w:rsidP="005B001F">
      <w:pPr>
        <w:spacing w:line="480" w:lineRule="auto"/>
        <w:ind w:firstLine="720"/>
        <w:rPr>
          <w:rFonts w:ascii="Times New Roman" w:hAnsi="Times New Roman" w:cs="Times New Roman"/>
          <w:sz w:val="24"/>
          <w:szCs w:val="24"/>
        </w:rPr>
      </w:pPr>
      <w:r w:rsidRPr="004B502E">
        <w:rPr>
          <w:rFonts w:ascii="Times New Roman" w:hAnsi="Times New Roman" w:cs="Times New Roman"/>
          <w:sz w:val="24"/>
          <w:szCs w:val="24"/>
        </w:rPr>
        <w:t xml:space="preserve">Unlike the previous study, </w:t>
      </w:r>
      <w:r w:rsidR="005B001F" w:rsidRPr="004B502E">
        <w:rPr>
          <w:rFonts w:ascii="Times New Roman" w:hAnsi="Times New Roman" w:cs="Times New Roman"/>
          <w:sz w:val="24"/>
          <w:szCs w:val="24"/>
        </w:rPr>
        <w:t xml:space="preserve">Bashir (2003) included a wide set of internal variables </w:t>
      </w:r>
      <w:r w:rsidR="009E4546" w:rsidRPr="004B502E">
        <w:rPr>
          <w:rFonts w:ascii="Times New Roman" w:hAnsi="Times New Roman" w:cs="Times New Roman"/>
          <w:sz w:val="24"/>
          <w:szCs w:val="24"/>
        </w:rPr>
        <w:t>(i.e.</w:t>
      </w:r>
      <w:r w:rsidR="006C0B9D">
        <w:rPr>
          <w:rFonts w:ascii="Times New Roman" w:hAnsi="Times New Roman" w:cs="Times New Roman"/>
          <w:sz w:val="24"/>
          <w:szCs w:val="24"/>
        </w:rPr>
        <w:t>,</w:t>
      </w:r>
      <w:r w:rsidR="009E4546" w:rsidRPr="004B502E">
        <w:rPr>
          <w:rFonts w:ascii="Times New Roman" w:hAnsi="Times New Roman" w:cs="Times New Roman"/>
          <w:sz w:val="24"/>
          <w:szCs w:val="24"/>
        </w:rPr>
        <w:t xml:space="preserve"> capital ratio, liquidity r</w:t>
      </w:r>
      <w:r w:rsidR="005B001F" w:rsidRPr="004B502E">
        <w:rPr>
          <w:rFonts w:ascii="Times New Roman" w:hAnsi="Times New Roman" w:cs="Times New Roman"/>
          <w:sz w:val="24"/>
          <w:szCs w:val="24"/>
        </w:rPr>
        <w:t>atio, ratio of overhead expenses over total assets, funds source management ratio, ratio of total liabilities over total assets, foreign ownership variable, ratio of non-interest earning assets over total assets), and used the external set of ratios (i.e.</w:t>
      </w:r>
      <w:r w:rsidR="006C0B9D">
        <w:rPr>
          <w:rFonts w:ascii="Times New Roman" w:hAnsi="Times New Roman" w:cs="Times New Roman"/>
          <w:sz w:val="24"/>
          <w:szCs w:val="24"/>
        </w:rPr>
        <w:t>,</w:t>
      </w:r>
      <w:r w:rsidR="005B001F" w:rsidRPr="004B502E">
        <w:rPr>
          <w:rFonts w:ascii="Times New Roman" w:hAnsi="Times New Roman" w:cs="Times New Roman"/>
          <w:sz w:val="24"/>
          <w:szCs w:val="24"/>
        </w:rPr>
        <w:t xml:space="preserve"> macroeconomic environment, taxation indicators</w:t>
      </w:r>
      <w:r w:rsidR="006C0B9D">
        <w:rPr>
          <w:rFonts w:ascii="Times New Roman" w:hAnsi="Times New Roman" w:cs="Times New Roman"/>
          <w:sz w:val="24"/>
          <w:szCs w:val="24"/>
        </w:rPr>
        <w:t>,</w:t>
      </w:r>
      <w:r w:rsidR="005B001F" w:rsidRPr="004B502E">
        <w:rPr>
          <w:rFonts w:ascii="Times New Roman" w:hAnsi="Times New Roman" w:cs="Times New Roman"/>
          <w:sz w:val="24"/>
          <w:szCs w:val="24"/>
        </w:rPr>
        <w:t xml:space="preserve"> and financial structure variables) as the control variables. As </w:t>
      </w:r>
      <w:r w:rsidR="006C0B9D">
        <w:rPr>
          <w:rFonts w:ascii="Times New Roman" w:hAnsi="Times New Roman" w:cs="Times New Roman"/>
          <w:sz w:val="24"/>
          <w:szCs w:val="24"/>
        </w:rPr>
        <w:t>a</w:t>
      </w:r>
      <w:r w:rsidR="006C0B9D" w:rsidRPr="004B502E">
        <w:rPr>
          <w:rFonts w:ascii="Times New Roman" w:hAnsi="Times New Roman" w:cs="Times New Roman"/>
          <w:sz w:val="24"/>
          <w:szCs w:val="24"/>
        </w:rPr>
        <w:t xml:space="preserve"> </w:t>
      </w:r>
      <w:r w:rsidR="005B001F" w:rsidRPr="004B502E">
        <w:rPr>
          <w:rFonts w:ascii="Times New Roman" w:hAnsi="Times New Roman" w:cs="Times New Roman"/>
          <w:sz w:val="24"/>
          <w:szCs w:val="24"/>
        </w:rPr>
        <w:t>meas</w:t>
      </w:r>
      <w:r w:rsidR="009E4546" w:rsidRPr="004B502E">
        <w:rPr>
          <w:rFonts w:ascii="Times New Roman" w:hAnsi="Times New Roman" w:cs="Times New Roman"/>
          <w:sz w:val="24"/>
          <w:szCs w:val="24"/>
        </w:rPr>
        <w:t>ure of performance Bashir</w:t>
      </w:r>
      <w:r w:rsidR="005B001F" w:rsidRPr="004B502E">
        <w:rPr>
          <w:rFonts w:ascii="Times New Roman" w:hAnsi="Times New Roman" w:cs="Times New Roman"/>
          <w:sz w:val="24"/>
          <w:szCs w:val="24"/>
        </w:rPr>
        <w:t xml:space="preserve"> used the ratios of </w:t>
      </w:r>
      <w:r w:rsidR="006C0B9D">
        <w:rPr>
          <w:rFonts w:ascii="Times New Roman" w:hAnsi="Times New Roman" w:cs="Times New Roman"/>
          <w:sz w:val="24"/>
          <w:szCs w:val="24"/>
        </w:rPr>
        <w:t>return on assets (</w:t>
      </w:r>
      <w:r w:rsidR="009E4546" w:rsidRPr="004B502E">
        <w:rPr>
          <w:rFonts w:ascii="Times New Roman" w:hAnsi="Times New Roman" w:cs="Times New Roman"/>
          <w:sz w:val="24"/>
          <w:szCs w:val="24"/>
        </w:rPr>
        <w:t>ROA</w:t>
      </w:r>
      <w:r w:rsidR="006C0B9D">
        <w:rPr>
          <w:rFonts w:ascii="Times New Roman" w:hAnsi="Times New Roman" w:cs="Times New Roman"/>
          <w:sz w:val="24"/>
          <w:szCs w:val="24"/>
        </w:rPr>
        <w:t>)</w:t>
      </w:r>
      <w:r w:rsidR="009E4546" w:rsidRPr="004B502E">
        <w:rPr>
          <w:rFonts w:ascii="Times New Roman" w:hAnsi="Times New Roman" w:cs="Times New Roman"/>
          <w:sz w:val="24"/>
          <w:szCs w:val="24"/>
        </w:rPr>
        <w:t xml:space="preserve">, </w:t>
      </w:r>
      <w:r w:rsidR="006C0B9D">
        <w:rPr>
          <w:rFonts w:ascii="Times New Roman" w:hAnsi="Times New Roman" w:cs="Times New Roman"/>
          <w:sz w:val="24"/>
          <w:szCs w:val="24"/>
        </w:rPr>
        <w:t>return on equity (</w:t>
      </w:r>
      <w:r w:rsidR="009E4546" w:rsidRPr="004B502E">
        <w:rPr>
          <w:rFonts w:ascii="Times New Roman" w:hAnsi="Times New Roman" w:cs="Times New Roman"/>
          <w:sz w:val="24"/>
          <w:szCs w:val="24"/>
        </w:rPr>
        <w:t>ROE</w:t>
      </w:r>
      <w:r w:rsidR="006C0B9D">
        <w:rPr>
          <w:rFonts w:ascii="Times New Roman" w:hAnsi="Times New Roman" w:cs="Times New Roman"/>
          <w:sz w:val="24"/>
          <w:szCs w:val="24"/>
        </w:rPr>
        <w:t>)</w:t>
      </w:r>
      <w:r w:rsidR="00F56B4F">
        <w:rPr>
          <w:rFonts w:ascii="Times New Roman" w:hAnsi="Times New Roman" w:cs="Times New Roman"/>
          <w:sz w:val="24"/>
          <w:szCs w:val="24"/>
        </w:rPr>
        <w:t>,</w:t>
      </w:r>
      <w:r w:rsidR="009E4546" w:rsidRPr="004B502E">
        <w:rPr>
          <w:rFonts w:ascii="Times New Roman" w:hAnsi="Times New Roman" w:cs="Times New Roman"/>
          <w:sz w:val="24"/>
          <w:szCs w:val="24"/>
        </w:rPr>
        <w:t xml:space="preserve"> and</w:t>
      </w:r>
      <w:r w:rsidR="00176D59" w:rsidRPr="004B502E">
        <w:rPr>
          <w:rFonts w:ascii="Times New Roman" w:hAnsi="Times New Roman" w:cs="Times New Roman"/>
          <w:sz w:val="24"/>
          <w:szCs w:val="24"/>
        </w:rPr>
        <w:t xml:space="preserve"> </w:t>
      </w:r>
      <w:r w:rsidR="009E4546" w:rsidRPr="004B502E">
        <w:rPr>
          <w:rFonts w:ascii="Times New Roman" w:hAnsi="Times New Roman" w:cs="Times New Roman"/>
          <w:sz w:val="24"/>
          <w:szCs w:val="24"/>
        </w:rPr>
        <w:t>before tax profits over total assets</w:t>
      </w:r>
      <w:r w:rsidR="006C0B9D" w:rsidRPr="006C0B9D">
        <w:rPr>
          <w:rFonts w:ascii="Times New Roman" w:hAnsi="Times New Roman" w:cs="Times New Roman"/>
          <w:sz w:val="24"/>
          <w:szCs w:val="24"/>
        </w:rPr>
        <w:t xml:space="preserve"> </w:t>
      </w:r>
      <w:r w:rsidR="006C0B9D" w:rsidRPr="004B502E">
        <w:rPr>
          <w:rFonts w:ascii="Times New Roman" w:hAnsi="Times New Roman" w:cs="Times New Roman"/>
          <w:sz w:val="24"/>
          <w:szCs w:val="24"/>
        </w:rPr>
        <w:t>(BTP/TA</w:t>
      </w:r>
      <w:r w:rsidR="009E4546" w:rsidRPr="004B502E">
        <w:rPr>
          <w:rFonts w:ascii="Times New Roman" w:hAnsi="Times New Roman" w:cs="Times New Roman"/>
          <w:sz w:val="24"/>
          <w:szCs w:val="24"/>
        </w:rPr>
        <w:t>)</w:t>
      </w:r>
      <w:r w:rsidR="005B001F" w:rsidRPr="004B502E">
        <w:rPr>
          <w:rFonts w:ascii="Times New Roman" w:hAnsi="Times New Roman" w:cs="Times New Roman"/>
          <w:sz w:val="24"/>
          <w:szCs w:val="24"/>
        </w:rPr>
        <w:t xml:space="preserve">. </w:t>
      </w:r>
      <w:r w:rsidR="00E60D18" w:rsidRPr="004B502E">
        <w:rPr>
          <w:rFonts w:ascii="Times New Roman" w:hAnsi="Times New Roman" w:cs="Times New Roman"/>
          <w:sz w:val="24"/>
          <w:szCs w:val="24"/>
        </w:rPr>
        <w:t xml:space="preserve">Data </w:t>
      </w:r>
      <w:r w:rsidRPr="004B502E">
        <w:rPr>
          <w:rFonts w:ascii="Times New Roman" w:hAnsi="Times New Roman" w:cs="Times New Roman"/>
          <w:sz w:val="24"/>
          <w:szCs w:val="24"/>
        </w:rPr>
        <w:t xml:space="preserve">analyzed </w:t>
      </w:r>
      <w:r w:rsidR="00E60D18" w:rsidRPr="004B502E">
        <w:rPr>
          <w:rFonts w:ascii="Times New Roman" w:hAnsi="Times New Roman" w:cs="Times New Roman"/>
          <w:sz w:val="24"/>
          <w:szCs w:val="24"/>
        </w:rPr>
        <w:t>in the study cover</w:t>
      </w:r>
      <w:r w:rsidRPr="004B502E">
        <w:rPr>
          <w:rFonts w:ascii="Times New Roman" w:hAnsi="Times New Roman" w:cs="Times New Roman"/>
          <w:sz w:val="24"/>
          <w:szCs w:val="24"/>
        </w:rPr>
        <w:t>ed</w:t>
      </w:r>
      <w:r w:rsidR="00E60D18" w:rsidRPr="004B502E">
        <w:rPr>
          <w:rFonts w:ascii="Times New Roman" w:hAnsi="Times New Roman" w:cs="Times New Roman"/>
          <w:sz w:val="24"/>
          <w:szCs w:val="24"/>
        </w:rPr>
        <w:t xml:space="preserve"> 14</w:t>
      </w:r>
      <w:r w:rsidR="009E4546" w:rsidRPr="004B502E">
        <w:rPr>
          <w:rFonts w:ascii="Times New Roman" w:hAnsi="Times New Roman" w:cs="Times New Roman"/>
          <w:sz w:val="24"/>
          <w:szCs w:val="24"/>
        </w:rPr>
        <w:t xml:space="preserve"> banks from </w:t>
      </w:r>
      <w:r w:rsidR="00F56B4F">
        <w:rPr>
          <w:rFonts w:ascii="Times New Roman" w:hAnsi="Times New Roman" w:cs="Times New Roman"/>
          <w:sz w:val="24"/>
          <w:szCs w:val="24"/>
        </w:rPr>
        <w:t>eight</w:t>
      </w:r>
      <w:r w:rsidR="00F56B4F" w:rsidRPr="004B502E">
        <w:rPr>
          <w:rFonts w:ascii="Times New Roman" w:hAnsi="Times New Roman" w:cs="Times New Roman"/>
          <w:sz w:val="24"/>
          <w:szCs w:val="24"/>
        </w:rPr>
        <w:t xml:space="preserve"> </w:t>
      </w:r>
      <w:r w:rsidR="009E4546" w:rsidRPr="004B502E">
        <w:rPr>
          <w:rFonts w:ascii="Times New Roman" w:hAnsi="Times New Roman" w:cs="Times New Roman"/>
          <w:sz w:val="24"/>
          <w:szCs w:val="24"/>
        </w:rPr>
        <w:t>countries, for the period from</w:t>
      </w:r>
      <w:r w:rsidR="00E60D18" w:rsidRPr="004B502E">
        <w:rPr>
          <w:rFonts w:ascii="Times New Roman" w:hAnsi="Times New Roman" w:cs="Times New Roman"/>
          <w:sz w:val="24"/>
          <w:szCs w:val="24"/>
        </w:rPr>
        <w:t xml:space="preserve"> 1993 </w:t>
      </w:r>
      <w:r w:rsidRPr="004B502E">
        <w:rPr>
          <w:rFonts w:ascii="Times New Roman" w:hAnsi="Times New Roman" w:cs="Times New Roman"/>
          <w:sz w:val="24"/>
          <w:szCs w:val="24"/>
        </w:rPr>
        <w:t xml:space="preserve">until </w:t>
      </w:r>
      <w:r w:rsidR="00E60D18" w:rsidRPr="004B502E">
        <w:rPr>
          <w:rFonts w:ascii="Times New Roman" w:hAnsi="Times New Roman" w:cs="Times New Roman"/>
          <w:sz w:val="24"/>
          <w:szCs w:val="24"/>
        </w:rPr>
        <w:t xml:space="preserve">1998. </w:t>
      </w:r>
      <w:r w:rsidR="009E4546" w:rsidRPr="004B502E">
        <w:rPr>
          <w:rFonts w:ascii="Times New Roman" w:hAnsi="Times New Roman" w:cs="Times New Roman"/>
          <w:sz w:val="24"/>
          <w:szCs w:val="24"/>
        </w:rPr>
        <w:t xml:space="preserve">As a result, </w:t>
      </w:r>
      <w:r w:rsidR="00F56B4F">
        <w:rPr>
          <w:rFonts w:ascii="Times New Roman" w:hAnsi="Times New Roman" w:cs="Times New Roman"/>
          <w:sz w:val="24"/>
          <w:szCs w:val="24"/>
        </w:rPr>
        <w:t>Bashir</w:t>
      </w:r>
      <w:r w:rsidR="009E4546" w:rsidRPr="004B502E">
        <w:rPr>
          <w:rFonts w:ascii="Times New Roman" w:hAnsi="Times New Roman" w:cs="Times New Roman"/>
          <w:sz w:val="24"/>
          <w:szCs w:val="24"/>
        </w:rPr>
        <w:t xml:space="preserve"> concluded</w:t>
      </w:r>
      <w:r w:rsidR="00E27747" w:rsidRPr="004B502E">
        <w:rPr>
          <w:rFonts w:ascii="Times New Roman" w:hAnsi="Times New Roman" w:cs="Times New Roman"/>
          <w:sz w:val="24"/>
          <w:szCs w:val="24"/>
        </w:rPr>
        <w:t xml:space="preserve"> </w:t>
      </w:r>
      <w:r w:rsidR="00F56B4F">
        <w:rPr>
          <w:rFonts w:ascii="Times New Roman" w:hAnsi="Times New Roman" w:cs="Times New Roman"/>
          <w:sz w:val="24"/>
          <w:szCs w:val="24"/>
        </w:rPr>
        <w:t>that from</w:t>
      </w:r>
      <w:r w:rsidR="00F56B4F" w:rsidRPr="004B502E">
        <w:rPr>
          <w:rFonts w:ascii="Times New Roman" w:hAnsi="Times New Roman" w:cs="Times New Roman"/>
          <w:sz w:val="24"/>
          <w:szCs w:val="24"/>
        </w:rPr>
        <w:t xml:space="preserve"> </w:t>
      </w:r>
      <w:r w:rsidR="00E27747" w:rsidRPr="004B502E">
        <w:rPr>
          <w:rFonts w:ascii="Times New Roman" w:hAnsi="Times New Roman" w:cs="Times New Roman"/>
          <w:sz w:val="24"/>
          <w:szCs w:val="24"/>
        </w:rPr>
        <w:t xml:space="preserve">internal banking ratios, high </w:t>
      </w:r>
      <w:r w:rsidR="00F56B4F" w:rsidRPr="004B502E">
        <w:rPr>
          <w:rFonts w:ascii="Times New Roman" w:hAnsi="Times New Roman" w:cs="Times New Roman"/>
          <w:sz w:val="24"/>
          <w:szCs w:val="24"/>
        </w:rPr>
        <w:t>capital</w:t>
      </w:r>
      <w:r w:rsidR="00F56B4F">
        <w:rPr>
          <w:rFonts w:ascii="Times New Roman" w:hAnsi="Times New Roman" w:cs="Times New Roman"/>
          <w:sz w:val="24"/>
          <w:szCs w:val="24"/>
        </w:rPr>
        <w:t>-</w:t>
      </w:r>
      <w:r w:rsidR="00F56B4F" w:rsidRPr="004B502E">
        <w:rPr>
          <w:rFonts w:ascii="Times New Roman" w:hAnsi="Times New Roman" w:cs="Times New Roman"/>
          <w:sz w:val="24"/>
          <w:szCs w:val="24"/>
        </w:rPr>
        <w:t>to</w:t>
      </w:r>
      <w:r w:rsidR="00F56B4F">
        <w:rPr>
          <w:rFonts w:ascii="Times New Roman" w:hAnsi="Times New Roman" w:cs="Times New Roman"/>
          <w:sz w:val="24"/>
          <w:szCs w:val="24"/>
        </w:rPr>
        <w:t>-</w:t>
      </w:r>
      <w:r w:rsidR="00E27747" w:rsidRPr="004B502E">
        <w:rPr>
          <w:rFonts w:ascii="Times New Roman" w:hAnsi="Times New Roman" w:cs="Times New Roman"/>
          <w:sz w:val="24"/>
          <w:szCs w:val="24"/>
        </w:rPr>
        <w:t xml:space="preserve">asset and </w:t>
      </w:r>
      <w:r w:rsidR="00F56B4F" w:rsidRPr="004B502E">
        <w:rPr>
          <w:rFonts w:ascii="Times New Roman" w:hAnsi="Times New Roman" w:cs="Times New Roman"/>
          <w:sz w:val="24"/>
          <w:szCs w:val="24"/>
        </w:rPr>
        <w:t>loan</w:t>
      </w:r>
      <w:r w:rsidR="00F56B4F">
        <w:rPr>
          <w:rFonts w:ascii="Times New Roman" w:hAnsi="Times New Roman" w:cs="Times New Roman"/>
          <w:sz w:val="24"/>
          <w:szCs w:val="24"/>
        </w:rPr>
        <w:t>-</w:t>
      </w:r>
      <w:r w:rsidR="00F56B4F" w:rsidRPr="004B502E">
        <w:rPr>
          <w:rFonts w:ascii="Times New Roman" w:hAnsi="Times New Roman" w:cs="Times New Roman"/>
          <w:sz w:val="24"/>
          <w:szCs w:val="24"/>
        </w:rPr>
        <w:t>to</w:t>
      </w:r>
      <w:r w:rsidR="00F56B4F">
        <w:rPr>
          <w:rFonts w:ascii="Times New Roman" w:hAnsi="Times New Roman" w:cs="Times New Roman"/>
          <w:sz w:val="24"/>
          <w:szCs w:val="24"/>
        </w:rPr>
        <w:t>-</w:t>
      </w:r>
      <w:r w:rsidR="00E27747" w:rsidRPr="004B502E">
        <w:rPr>
          <w:rFonts w:ascii="Times New Roman" w:hAnsi="Times New Roman" w:cs="Times New Roman"/>
          <w:sz w:val="24"/>
          <w:szCs w:val="24"/>
        </w:rPr>
        <w:t>asset ratio</w:t>
      </w:r>
      <w:r w:rsidR="00F56B4F">
        <w:rPr>
          <w:rFonts w:ascii="Times New Roman" w:hAnsi="Times New Roman" w:cs="Times New Roman"/>
          <w:sz w:val="24"/>
          <w:szCs w:val="24"/>
        </w:rPr>
        <w:t>s</w:t>
      </w:r>
      <w:r w:rsidR="006C5F3C" w:rsidRPr="004B502E">
        <w:rPr>
          <w:rFonts w:ascii="Times New Roman" w:hAnsi="Times New Roman" w:cs="Times New Roman"/>
          <w:sz w:val="24"/>
          <w:szCs w:val="24"/>
        </w:rPr>
        <w:t xml:space="preserve"> </w:t>
      </w:r>
      <w:r w:rsidR="00E27747" w:rsidRPr="004B502E">
        <w:rPr>
          <w:rFonts w:ascii="Times New Roman" w:hAnsi="Times New Roman" w:cs="Times New Roman"/>
          <w:sz w:val="24"/>
          <w:szCs w:val="24"/>
        </w:rPr>
        <w:t>affect profitability positively, and external ratios, taxes affect the performance of banks negatively. Furthermore, according to the results, foreign</w:t>
      </w:r>
      <w:r w:rsidR="00F56B4F">
        <w:rPr>
          <w:rFonts w:ascii="Times New Roman" w:hAnsi="Times New Roman" w:cs="Times New Roman"/>
          <w:sz w:val="24"/>
          <w:szCs w:val="24"/>
        </w:rPr>
        <w:t>-</w:t>
      </w:r>
      <w:r w:rsidR="00E27747" w:rsidRPr="004B502E">
        <w:rPr>
          <w:rFonts w:ascii="Times New Roman" w:hAnsi="Times New Roman" w:cs="Times New Roman"/>
          <w:sz w:val="24"/>
          <w:szCs w:val="24"/>
        </w:rPr>
        <w:t>owned bank</w:t>
      </w:r>
      <w:r w:rsidR="00F56B4F">
        <w:rPr>
          <w:rFonts w:ascii="Times New Roman" w:hAnsi="Times New Roman" w:cs="Times New Roman"/>
          <w:sz w:val="24"/>
          <w:szCs w:val="24"/>
        </w:rPr>
        <w:t>s</w:t>
      </w:r>
      <w:r w:rsidR="00E27747" w:rsidRPr="004B502E">
        <w:rPr>
          <w:rFonts w:ascii="Times New Roman" w:hAnsi="Times New Roman" w:cs="Times New Roman"/>
          <w:sz w:val="24"/>
          <w:szCs w:val="24"/>
        </w:rPr>
        <w:t xml:space="preserve"> have higher profits. </w:t>
      </w:r>
      <w:r w:rsidR="005D6992" w:rsidRPr="004B502E">
        <w:rPr>
          <w:rFonts w:ascii="Times New Roman" w:hAnsi="Times New Roman" w:cs="Times New Roman"/>
          <w:sz w:val="24"/>
          <w:szCs w:val="24"/>
        </w:rPr>
        <w:t>To the best of my knowledge, this is the first profitability study</w:t>
      </w:r>
      <w:r w:rsidR="001B1C71" w:rsidRPr="004B502E">
        <w:rPr>
          <w:rFonts w:ascii="Times New Roman" w:hAnsi="Times New Roman" w:cs="Times New Roman"/>
          <w:sz w:val="24"/>
          <w:szCs w:val="24"/>
        </w:rPr>
        <w:t xml:space="preserve"> </w:t>
      </w:r>
      <w:r w:rsidR="00F56B4F">
        <w:rPr>
          <w:rFonts w:ascii="Times New Roman" w:hAnsi="Times New Roman" w:cs="Times New Roman"/>
          <w:sz w:val="24"/>
          <w:szCs w:val="24"/>
        </w:rPr>
        <w:t>of</w:t>
      </w:r>
      <w:r w:rsidR="00F56B4F" w:rsidRPr="004B502E">
        <w:rPr>
          <w:rFonts w:ascii="Times New Roman" w:hAnsi="Times New Roman" w:cs="Times New Roman"/>
          <w:sz w:val="24"/>
          <w:szCs w:val="24"/>
        </w:rPr>
        <w:t xml:space="preserve"> </w:t>
      </w:r>
      <w:r w:rsidR="00852351">
        <w:rPr>
          <w:rFonts w:ascii="Times New Roman" w:hAnsi="Times New Roman" w:cs="Times New Roman"/>
          <w:sz w:val="24"/>
          <w:szCs w:val="24"/>
        </w:rPr>
        <w:t>Islamic banks</w:t>
      </w:r>
      <w:r w:rsidR="005D6992" w:rsidRPr="004B502E">
        <w:rPr>
          <w:rFonts w:ascii="Times New Roman" w:hAnsi="Times New Roman" w:cs="Times New Roman"/>
          <w:sz w:val="24"/>
          <w:szCs w:val="24"/>
        </w:rPr>
        <w:t xml:space="preserve"> where both internal and external banking ratios were </w:t>
      </w:r>
      <w:r w:rsidR="00F56B4F">
        <w:rPr>
          <w:rFonts w:ascii="Times New Roman" w:hAnsi="Times New Roman" w:cs="Times New Roman"/>
          <w:sz w:val="24"/>
          <w:szCs w:val="24"/>
        </w:rPr>
        <w:t>us</w:t>
      </w:r>
      <w:r w:rsidR="00F56B4F" w:rsidRPr="004B502E">
        <w:rPr>
          <w:rFonts w:ascii="Times New Roman" w:hAnsi="Times New Roman" w:cs="Times New Roman"/>
          <w:sz w:val="24"/>
          <w:szCs w:val="24"/>
        </w:rPr>
        <w:t>ed</w:t>
      </w:r>
      <w:r w:rsidR="005D6992" w:rsidRPr="004B502E">
        <w:rPr>
          <w:rFonts w:ascii="Times New Roman" w:hAnsi="Times New Roman" w:cs="Times New Roman"/>
          <w:sz w:val="24"/>
          <w:szCs w:val="24"/>
        </w:rPr>
        <w:t xml:space="preserve">. </w:t>
      </w:r>
      <w:r w:rsidR="006C5F3C" w:rsidRPr="004B502E">
        <w:rPr>
          <w:rFonts w:ascii="Times New Roman" w:hAnsi="Times New Roman" w:cs="Times New Roman"/>
          <w:sz w:val="24"/>
          <w:szCs w:val="24"/>
        </w:rPr>
        <w:t xml:space="preserve"> </w:t>
      </w:r>
    </w:p>
    <w:p w:rsidR="002A0786" w:rsidRPr="004B502E" w:rsidRDefault="006C5F3C" w:rsidP="006C5F3C">
      <w:pPr>
        <w:spacing w:line="480" w:lineRule="auto"/>
        <w:ind w:firstLine="720"/>
        <w:rPr>
          <w:rFonts w:ascii="Times New Roman" w:hAnsi="Times New Roman" w:cs="Times New Roman"/>
          <w:sz w:val="24"/>
          <w:szCs w:val="24"/>
        </w:rPr>
      </w:pPr>
      <w:r w:rsidRPr="004B502E">
        <w:rPr>
          <w:rFonts w:ascii="Times New Roman" w:hAnsi="Times New Roman" w:cs="Times New Roman"/>
          <w:sz w:val="24"/>
          <w:szCs w:val="24"/>
        </w:rPr>
        <w:t>Hassan and</w:t>
      </w:r>
      <w:r w:rsidR="00B31CE6" w:rsidRPr="004B502E">
        <w:rPr>
          <w:rFonts w:ascii="Times New Roman" w:hAnsi="Times New Roman" w:cs="Times New Roman"/>
          <w:sz w:val="24"/>
          <w:szCs w:val="24"/>
        </w:rPr>
        <w:t xml:space="preserve"> Bashir (2003</w:t>
      </w:r>
      <w:r w:rsidRPr="004B502E">
        <w:rPr>
          <w:rFonts w:ascii="Times New Roman" w:hAnsi="Times New Roman" w:cs="Times New Roman"/>
          <w:sz w:val="24"/>
          <w:szCs w:val="24"/>
        </w:rPr>
        <w:t>)</w:t>
      </w:r>
      <w:r w:rsidR="001B1C71" w:rsidRPr="004B502E">
        <w:rPr>
          <w:rFonts w:ascii="Times New Roman" w:hAnsi="Times New Roman" w:cs="Times New Roman"/>
          <w:sz w:val="24"/>
          <w:szCs w:val="24"/>
        </w:rPr>
        <w:t xml:space="preserve"> used the same approach as Bashir</w:t>
      </w:r>
      <w:r w:rsidRPr="004B502E">
        <w:rPr>
          <w:rFonts w:ascii="Times New Roman" w:hAnsi="Times New Roman" w:cs="Times New Roman"/>
          <w:sz w:val="24"/>
          <w:szCs w:val="24"/>
        </w:rPr>
        <w:t xml:space="preserve"> </w:t>
      </w:r>
      <w:r w:rsidR="001B1C71" w:rsidRPr="004B502E">
        <w:rPr>
          <w:rFonts w:ascii="Times New Roman" w:hAnsi="Times New Roman" w:cs="Times New Roman"/>
          <w:sz w:val="24"/>
          <w:szCs w:val="24"/>
        </w:rPr>
        <w:t>(</w:t>
      </w:r>
      <w:r w:rsidRPr="004B502E">
        <w:rPr>
          <w:rFonts w:ascii="Times New Roman" w:hAnsi="Times New Roman" w:cs="Times New Roman"/>
          <w:sz w:val="24"/>
          <w:szCs w:val="24"/>
        </w:rPr>
        <w:t>2003)</w:t>
      </w:r>
      <w:r w:rsidR="001B1C71" w:rsidRPr="004B502E">
        <w:rPr>
          <w:rFonts w:ascii="Times New Roman" w:hAnsi="Times New Roman" w:cs="Times New Roman"/>
          <w:sz w:val="24"/>
          <w:szCs w:val="24"/>
        </w:rPr>
        <w:t xml:space="preserve"> by </w:t>
      </w:r>
      <w:r w:rsidR="00B91F3B" w:rsidRPr="004B502E">
        <w:rPr>
          <w:rFonts w:ascii="Times New Roman" w:hAnsi="Times New Roman" w:cs="Times New Roman"/>
          <w:sz w:val="24"/>
          <w:szCs w:val="24"/>
        </w:rPr>
        <w:t xml:space="preserve">implementing </w:t>
      </w:r>
      <w:r w:rsidR="001B1C71" w:rsidRPr="004B502E">
        <w:rPr>
          <w:rFonts w:ascii="Times New Roman" w:hAnsi="Times New Roman" w:cs="Times New Roman"/>
          <w:sz w:val="24"/>
          <w:szCs w:val="24"/>
        </w:rPr>
        <w:t>a</w:t>
      </w:r>
      <w:r w:rsidRPr="004B502E">
        <w:rPr>
          <w:rFonts w:ascii="Times New Roman" w:hAnsi="Times New Roman" w:cs="Times New Roman"/>
          <w:sz w:val="24"/>
          <w:szCs w:val="24"/>
        </w:rPr>
        <w:t xml:space="preserve"> more representative</w:t>
      </w:r>
      <w:r w:rsidR="001B1C71" w:rsidRPr="004B502E">
        <w:rPr>
          <w:rFonts w:ascii="Times New Roman" w:hAnsi="Times New Roman" w:cs="Times New Roman"/>
          <w:sz w:val="24"/>
          <w:szCs w:val="24"/>
        </w:rPr>
        <w:t xml:space="preserve"> data set</w:t>
      </w:r>
      <w:r w:rsidRPr="004B502E">
        <w:rPr>
          <w:rFonts w:ascii="Times New Roman" w:hAnsi="Times New Roman" w:cs="Times New Roman"/>
          <w:sz w:val="24"/>
          <w:szCs w:val="24"/>
        </w:rPr>
        <w:t xml:space="preserve">: </w:t>
      </w:r>
      <w:r w:rsidR="001B1C71" w:rsidRPr="004B502E">
        <w:rPr>
          <w:rFonts w:ascii="Times New Roman" w:hAnsi="Times New Roman" w:cs="Times New Roman"/>
          <w:sz w:val="24"/>
          <w:szCs w:val="24"/>
        </w:rPr>
        <w:t>I</w:t>
      </w:r>
      <w:r w:rsidR="005D6992" w:rsidRPr="004B502E">
        <w:rPr>
          <w:rFonts w:ascii="Times New Roman" w:hAnsi="Times New Roman" w:cs="Times New Roman"/>
          <w:sz w:val="24"/>
          <w:szCs w:val="24"/>
        </w:rPr>
        <w:t xml:space="preserve">t </w:t>
      </w:r>
      <w:r w:rsidR="00335E95" w:rsidRPr="004B502E">
        <w:rPr>
          <w:rFonts w:ascii="Times New Roman" w:hAnsi="Times New Roman" w:cs="Times New Roman"/>
          <w:sz w:val="24"/>
          <w:szCs w:val="24"/>
        </w:rPr>
        <w:t>was</w:t>
      </w:r>
      <w:r w:rsidRPr="004B502E">
        <w:rPr>
          <w:rFonts w:ascii="Times New Roman" w:hAnsi="Times New Roman" w:cs="Times New Roman"/>
          <w:sz w:val="24"/>
          <w:szCs w:val="24"/>
        </w:rPr>
        <w:t xml:space="preserve"> collected from </w:t>
      </w:r>
      <w:r w:rsidR="005D6992" w:rsidRPr="004B502E">
        <w:rPr>
          <w:rFonts w:ascii="Times New Roman" w:hAnsi="Times New Roman" w:cs="Times New Roman"/>
          <w:sz w:val="24"/>
          <w:szCs w:val="24"/>
        </w:rPr>
        <w:t xml:space="preserve">39 </w:t>
      </w:r>
      <w:r w:rsidR="00852351">
        <w:rPr>
          <w:rFonts w:ascii="Times New Roman" w:hAnsi="Times New Roman" w:cs="Times New Roman"/>
          <w:sz w:val="24"/>
          <w:szCs w:val="24"/>
        </w:rPr>
        <w:t>Islamic banks</w:t>
      </w:r>
      <w:r w:rsidR="00B91F3B" w:rsidRPr="004B502E">
        <w:rPr>
          <w:rFonts w:ascii="Times New Roman" w:hAnsi="Times New Roman" w:cs="Times New Roman"/>
          <w:sz w:val="24"/>
          <w:szCs w:val="24"/>
        </w:rPr>
        <w:t xml:space="preserve"> selected from</w:t>
      </w:r>
      <w:r w:rsidR="001B1C71" w:rsidRPr="004B502E">
        <w:rPr>
          <w:rFonts w:ascii="Times New Roman" w:hAnsi="Times New Roman" w:cs="Times New Roman"/>
          <w:sz w:val="24"/>
          <w:szCs w:val="24"/>
        </w:rPr>
        <w:t xml:space="preserve"> 21 countries for the period from 1994 to</w:t>
      </w:r>
      <w:r w:rsidRPr="004B502E">
        <w:rPr>
          <w:rFonts w:ascii="Times New Roman" w:hAnsi="Times New Roman" w:cs="Times New Roman"/>
          <w:sz w:val="24"/>
          <w:szCs w:val="24"/>
        </w:rPr>
        <w:t xml:space="preserve"> 2001. </w:t>
      </w:r>
      <w:r w:rsidR="00E361A3" w:rsidRPr="004B502E">
        <w:rPr>
          <w:rFonts w:ascii="Times New Roman" w:hAnsi="Times New Roman" w:cs="Times New Roman"/>
          <w:sz w:val="24"/>
          <w:szCs w:val="24"/>
        </w:rPr>
        <w:t>Compa</w:t>
      </w:r>
      <w:r w:rsidR="005D6992" w:rsidRPr="004B502E">
        <w:rPr>
          <w:rFonts w:ascii="Times New Roman" w:hAnsi="Times New Roman" w:cs="Times New Roman"/>
          <w:sz w:val="24"/>
          <w:szCs w:val="24"/>
        </w:rPr>
        <w:t xml:space="preserve">red to the previous </w:t>
      </w:r>
      <w:r w:rsidR="001B1C71" w:rsidRPr="004B502E">
        <w:rPr>
          <w:rFonts w:ascii="Times New Roman" w:hAnsi="Times New Roman" w:cs="Times New Roman"/>
          <w:sz w:val="24"/>
          <w:szCs w:val="24"/>
        </w:rPr>
        <w:t>study</w:t>
      </w:r>
      <w:r w:rsidR="00E361A3" w:rsidRPr="004B502E">
        <w:rPr>
          <w:rFonts w:ascii="Times New Roman" w:hAnsi="Times New Roman" w:cs="Times New Roman"/>
          <w:sz w:val="24"/>
          <w:szCs w:val="24"/>
        </w:rPr>
        <w:t xml:space="preserve">, authors in this study </w:t>
      </w:r>
      <w:r w:rsidR="005D6992" w:rsidRPr="004B502E">
        <w:rPr>
          <w:rFonts w:ascii="Times New Roman" w:hAnsi="Times New Roman" w:cs="Times New Roman"/>
          <w:sz w:val="24"/>
          <w:szCs w:val="24"/>
        </w:rPr>
        <w:t>made</w:t>
      </w:r>
      <w:r w:rsidR="001B1C71" w:rsidRPr="004B502E">
        <w:rPr>
          <w:rFonts w:ascii="Times New Roman" w:hAnsi="Times New Roman" w:cs="Times New Roman"/>
          <w:sz w:val="24"/>
          <w:szCs w:val="24"/>
        </w:rPr>
        <w:t xml:space="preserve"> some</w:t>
      </w:r>
      <w:r w:rsidR="005D6992" w:rsidRPr="004B502E">
        <w:rPr>
          <w:rFonts w:ascii="Times New Roman" w:hAnsi="Times New Roman" w:cs="Times New Roman"/>
          <w:sz w:val="24"/>
          <w:szCs w:val="24"/>
        </w:rPr>
        <w:t xml:space="preserve"> changes to the </w:t>
      </w:r>
      <w:r w:rsidR="00E361A3" w:rsidRPr="004B502E">
        <w:rPr>
          <w:rFonts w:ascii="Times New Roman" w:hAnsi="Times New Roman" w:cs="Times New Roman"/>
          <w:sz w:val="24"/>
          <w:szCs w:val="24"/>
        </w:rPr>
        <w:t xml:space="preserve">external </w:t>
      </w:r>
      <w:r w:rsidR="005D6992" w:rsidRPr="004B502E">
        <w:rPr>
          <w:rFonts w:ascii="Times New Roman" w:hAnsi="Times New Roman" w:cs="Times New Roman"/>
          <w:sz w:val="24"/>
          <w:szCs w:val="24"/>
        </w:rPr>
        <w:t>and internal set of variables</w:t>
      </w:r>
      <w:r w:rsidR="00B76321">
        <w:rPr>
          <w:rFonts w:ascii="Times New Roman" w:hAnsi="Times New Roman" w:cs="Times New Roman"/>
          <w:sz w:val="24"/>
          <w:szCs w:val="24"/>
        </w:rPr>
        <w:t>.</w:t>
      </w:r>
      <w:r w:rsidR="005D6992" w:rsidRPr="004B502E">
        <w:rPr>
          <w:rStyle w:val="FootnoteReference"/>
          <w:rFonts w:ascii="Times New Roman" w:hAnsi="Times New Roman" w:cs="Times New Roman"/>
          <w:sz w:val="24"/>
          <w:szCs w:val="24"/>
        </w:rPr>
        <w:footnoteReference w:id="2"/>
      </w:r>
      <w:r w:rsidR="005D6992" w:rsidRPr="004B502E">
        <w:rPr>
          <w:rFonts w:ascii="Times New Roman" w:hAnsi="Times New Roman" w:cs="Times New Roman"/>
          <w:sz w:val="24"/>
          <w:szCs w:val="24"/>
        </w:rPr>
        <w:t xml:space="preserve"> </w:t>
      </w:r>
      <w:r w:rsidR="00B91F3B" w:rsidRPr="004B502E">
        <w:rPr>
          <w:rFonts w:ascii="Times New Roman" w:hAnsi="Times New Roman" w:cs="Times New Roman"/>
          <w:sz w:val="24"/>
          <w:szCs w:val="24"/>
        </w:rPr>
        <w:t xml:space="preserve">As a result, </w:t>
      </w:r>
      <w:r w:rsidR="00335E95" w:rsidRPr="004B502E">
        <w:rPr>
          <w:rFonts w:ascii="Times New Roman" w:hAnsi="Times New Roman" w:cs="Times New Roman"/>
          <w:sz w:val="24"/>
          <w:szCs w:val="24"/>
        </w:rPr>
        <w:t xml:space="preserve">the </w:t>
      </w:r>
      <w:r w:rsidR="00B91F3B" w:rsidRPr="004B502E">
        <w:rPr>
          <w:rFonts w:ascii="Times New Roman" w:hAnsi="Times New Roman" w:cs="Times New Roman"/>
          <w:sz w:val="24"/>
          <w:szCs w:val="24"/>
        </w:rPr>
        <w:t>authors ca</w:t>
      </w:r>
      <w:r w:rsidR="0060010D" w:rsidRPr="004B502E">
        <w:rPr>
          <w:rFonts w:ascii="Times New Roman" w:hAnsi="Times New Roman" w:cs="Times New Roman"/>
          <w:sz w:val="24"/>
          <w:szCs w:val="24"/>
        </w:rPr>
        <w:t xml:space="preserve">me to the same conclusion </w:t>
      </w:r>
      <w:r w:rsidR="00335E95" w:rsidRPr="004B502E">
        <w:rPr>
          <w:rFonts w:ascii="Times New Roman" w:hAnsi="Times New Roman" w:cs="Times New Roman"/>
          <w:sz w:val="24"/>
          <w:szCs w:val="24"/>
        </w:rPr>
        <w:t xml:space="preserve">as the </w:t>
      </w:r>
      <w:r w:rsidR="0060010D" w:rsidRPr="004B502E">
        <w:rPr>
          <w:rFonts w:ascii="Times New Roman" w:hAnsi="Times New Roman" w:cs="Times New Roman"/>
          <w:sz w:val="24"/>
          <w:szCs w:val="24"/>
        </w:rPr>
        <w:t>previous study (Bashir, 2003)</w:t>
      </w:r>
      <w:r w:rsidR="009970CF" w:rsidRPr="004B502E">
        <w:rPr>
          <w:rFonts w:ascii="Times New Roman" w:hAnsi="Times New Roman" w:cs="Times New Roman"/>
          <w:sz w:val="24"/>
          <w:szCs w:val="24"/>
        </w:rPr>
        <w:t xml:space="preserve"> regarding internal ratios</w:t>
      </w:r>
      <w:r w:rsidR="001B1C71" w:rsidRPr="004B502E">
        <w:rPr>
          <w:rFonts w:ascii="Times New Roman" w:hAnsi="Times New Roman" w:cs="Times New Roman"/>
          <w:sz w:val="24"/>
          <w:szCs w:val="24"/>
        </w:rPr>
        <w:t xml:space="preserve"> (i.e.</w:t>
      </w:r>
      <w:r w:rsidR="00074AD1">
        <w:rPr>
          <w:rFonts w:ascii="Times New Roman" w:hAnsi="Times New Roman" w:cs="Times New Roman"/>
          <w:sz w:val="24"/>
          <w:szCs w:val="24"/>
        </w:rPr>
        <w:t>,</w:t>
      </w:r>
      <w:r w:rsidR="001B1C71" w:rsidRPr="004B502E">
        <w:rPr>
          <w:rFonts w:ascii="Times New Roman" w:hAnsi="Times New Roman" w:cs="Times New Roman"/>
          <w:sz w:val="24"/>
          <w:szCs w:val="24"/>
        </w:rPr>
        <w:t xml:space="preserve"> </w:t>
      </w:r>
      <w:r w:rsidR="0060010D" w:rsidRPr="004B502E">
        <w:rPr>
          <w:rFonts w:ascii="Times New Roman" w:hAnsi="Times New Roman" w:cs="Times New Roman"/>
          <w:sz w:val="24"/>
          <w:szCs w:val="24"/>
        </w:rPr>
        <w:t>high capital and liquidity leads to high profits</w:t>
      </w:r>
      <w:r w:rsidR="001B1C71" w:rsidRPr="004B502E">
        <w:rPr>
          <w:rFonts w:ascii="Times New Roman" w:hAnsi="Times New Roman" w:cs="Times New Roman"/>
          <w:sz w:val="24"/>
          <w:szCs w:val="24"/>
        </w:rPr>
        <w:t>)</w:t>
      </w:r>
      <w:r w:rsidR="0060010D" w:rsidRPr="004B502E">
        <w:rPr>
          <w:rFonts w:ascii="Times New Roman" w:hAnsi="Times New Roman" w:cs="Times New Roman"/>
          <w:sz w:val="24"/>
          <w:szCs w:val="24"/>
        </w:rPr>
        <w:t>.</w:t>
      </w:r>
      <w:r w:rsidR="00100FD7" w:rsidRPr="004B502E">
        <w:rPr>
          <w:rFonts w:ascii="Times New Roman" w:hAnsi="Times New Roman" w:cs="Times New Roman"/>
          <w:sz w:val="24"/>
          <w:szCs w:val="24"/>
        </w:rPr>
        <w:t xml:space="preserve"> </w:t>
      </w:r>
      <w:r w:rsidR="00B91F3B" w:rsidRPr="004B502E">
        <w:rPr>
          <w:rFonts w:ascii="Times New Roman" w:hAnsi="Times New Roman" w:cs="Times New Roman"/>
          <w:sz w:val="24"/>
          <w:szCs w:val="24"/>
        </w:rPr>
        <w:t xml:space="preserve">Additionally, </w:t>
      </w:r>
      <w:r w:rsidR="00335E95" w:rsidRPr="004B502E">
        <w:rPr>
          <w:rFonts w:ascii="Times New Roman" w:hAnsi="Times New Roman" w:cs="Times New Roman"/>
          <w:sz w:val="24"/>
          <w:szCs w:val="24"/>
        </w:rPr>
        <w:t xml:space="preserve">the </w:t>
      </w:r>
      <w:r w:rsidR="00B91F3B" w:rsidRPr="004B502E">
        <w:rPr>
          <w:rFonts w:ascii="Times New Roman" w:hAnsi="Times New Roman" w:cs="Times New Roman"/>
          <w:sz w:val="24"/>
          <w:szCs w:val="24"/>
        </w:rPr>
        <w:t>authors foun</w:t>
      </w:r>
      <w:r w:rsidR="009970CF" w:rsidRPr="004B502E">
        <w:rPr>
          <w:rFonts w:ascii="Times New Roman" w:hAnsi="Times New Roman" w:cs="Times New Roman"/>
          <w:sz w:val="24"/>
          <w:szCs w:val="24"/>
        </w:rPr>
        <w:t xml:space="preserve">d that </w:t>
      </w:r>
      <w:r w:rsidR="00100FD7" w:rsidRPr="004B502E">
        <w:rPr>
          <w:rFonts w:ascii="Times New Roman" w:hAnsi="Times New Roman" w:cs="Times New Roman"/>
          <w:sz w:val="24"/>
          <w:szCs w:val="24"/>
        </w:rPr>
        <w:t>while tax rates affec</w:t>
      </w:r>
      <w:r w:rsidR="009970CF" w:rsidRPr="004B502E">
        <w:rPr>
          <w:rFonts w:ascii="Times New Roman" w:hAnsi="Times New Roman" w:cs="Times New Roman"/>
          <w:sz w:val="24"/>
          <w:szCs w:val="24"/>
        </w:rPr>
        <w:t xml:space="preserve">t profitability negatively, </w:t>
      </w:r>
      <w:r w:rsidR="00100FD7" w:rsidRPr="004B502E">
        <w:rPr>
          <w:rFonts w:ascii="Times New Roman" w:hAnsi="Times New Roman" w:cs="Times New Roman"/>
          <w:sz w:val="24"/>
          <w:szCs w:val="24"/>
        </w:rPr>
        <w:t xml:space="preserve">favorable macroeconomic conditions impact performance of </w:t>
      </w:r>
      <w:r w:rsidR="00852351">
        <w:rPr>
          <w:rFonts w:ascii="Times New Roman" w:hAnsi="Times New Roman" w:cs="Times New Roman"/>
          <w:sz w:val="24"/>
          <w:szCs w:val="24"/>
        </w:rPr>
        <w:t>Islamic banks</w:t>
      </w:r>
      <w:r w:rsidR="00100FD7" w:rsidRPr="004B502E">
        <w:rPr>
          <w:rFonts w:ascii="Times New Roman" w:hAnsi="Times New Roman" w:cs="Times New Roman"/>
          <w:sz w:val="24"/>
          <w:szCs w:val="24"/>
        </w:rPr>
        <w:t xml:space="preserve"> positively.</w:t>
      </w:r>
    </w:p>
    <w:p w:rsidR="006C5F3C" w:rsidRPr="004B502E" w:rsidRDefault="004B31AA" w:rsidP="006C5F3C">
      <w:pPr>
        <w:spacing w:line="480" w:lineRule="auto"/>
        <w:ind w:firstLine="720"/>
        <w:rPr>
          <w:rFonts w:ascii="Times New Roman" w:hAnsi="Times New Roman" w:cs="Times New Roman"/>
          <w:sz w:val="24"/>
          <w:szCs w:val="24"/>
        </w:rPr>
      </w:pPr>
      <w:r w:rsidRPr="004B502E">
        <w:rPr>
          <w:rFonts w:ascii="Times New Roman" w:hAnsi="Times New Roman" w:cs="Times New Roman"/>
          <w:sz w:val="24"/>
          <w:szCs w:val="24"/>
        </w:rPr>
        <w:t>The same approach</w:t>
      </w:r>
      <w:r w:rsidR="002A0786" w:rsidRPr="004B502E">
        <w:rPr>
          <w:rFonts w:ascii="Times New Roman" w:hAnsi="Times New Roman" w:cs="Times New Roman"/>
          <w:sz w:val="24"/>
          <w:szCs w:val="24"/>
        </w:rPr>
        <w:t xml:space="preserve"> used by Hassan and Bashir (2003)</w:t>
      </w:r>
      <w:r w:rsidRPr="004B502E">
        <w:rPr>
          <w:rFonts w:ascii="Times New Roman" w:hAnsi="Times New Roman" w:cs="Times New Roman"/>
          <w:sz w:val="24"/>
          <w:szCs w:val="24"/>
        </w:rPr>
        <w:t xml:space="preserve"> (i.e.</w:t>
      </w:r>
      <w:r w:rsidR="00074AD1">
        <w:rPr>
          <w:rFonts w:ascii="Times New Roman" w:hAnsi="Times New Roman" w:cs="Times New Roman"/>
          <w:sz w:val="24"/>
          <w:szCs w:val="24"/>
        </w:rPr>
        <w:t>,</w:t>
      </w:r>
      <w:r w:rsidRPr="004B502E">
        <w:rPr>
          <w:rFonts w:ascii="Times New Roman" w:hAnsi="Times New Roman" w:cs="Times New Roman"/>
          <w:sz w:val="24"/>
          <w:szCs w:val="24"/>
        </w:rPr>
        <w:t xml:space="preserve"> evaluation of the effect</w:t>
      </w:r>
      <w:r w:rsidR="005D033A">
        <w:rPr>
          <w:rFonts w:ascii="Times New Roman" w:hAnsi="Times New Roman" w:cs="Times New Roman"/>
          <w:sz w:val="24"/>
          <w:szCs w:val="24"/>
        </w:rPr>
        <w:t xml:space="preserve"> of internal and external factors</w:t>
      </w:r>
      <w:r w:rsidRPr="004B502E">
        <w:rPr>
          <w:rFonts w:ascii="Times New Roman" w:hAnsi="Times New Roman" w:cs="Times New Roman"/>
          <w:sz w:val="24"/>
          <w:szCs w:val="24"/>
        </w:rPr>
        <w:t xml:space="preserve"> on the performance of </w:t>
      </w:r>
      <w:r w:rsidR="00852351">
        <w:rPr>
          <w:rFonts w:ascii="Times New Roman" w:hAnsi="Times New Roman" w:cs="Times New Roman"/>
          <w:sz w:val="24"/>
          <w:szCs w:val="24"/>
        </w:rPr>
        <w:t>Islamic banks</w:t>
      </w:r>
      <w:r w:rsidRPr="004B502E">
        <w:rPr>
          <w:rFonts w:ascii="Times New Roman" w:hAnsi="Times New Roman" w:cs="Times New Roman"/>
          <w:sz w:val="24"/>
          <w:szCs w:val="24"/>
        </w:rPr>
        <w:t>)</w:t>
      </w:r>
      <w:r w:rsidR="002A0786" w:rsidRPr="004B502E">
        <w:rPr>
          <w:rFonts w:ascii="Times New Roman" w:hAnsi="Times New Roman" w:cs="Times New Roman"/>
          <w:sz w:val="24"/>
          <w:szCs w:val="24"/>
        </w:rPr>
        <w:t xml:space="preserve"> </w:t>
      </w:r>
      <w:r w:rsidR="00335E95" w:rsidRPr="004B502E">
        <w:rPr>
          <w:rFonts w:ascii="Times New Roman" w:hAnsi="Times New Roman" w:cs="Times New Roman"/>
          <w:sz w:val="24"/>
          <w:szCs w:val="24"/>
        </w:rPr>
        <w:t xml:space="preserve">was </w:t>
      </w:r>
      <w:r w:rsidR="00074AD1">
        <w:rPr>
          <w:rFonts w:ascii="Times New Roman" w:hAnsi="Times New Roman" w:cs="Times New Roman"/>
          <w:sz w:val="24"/>
          <w:szCs w:val="24"/>
        </w:rPr>
        <w:t>used</w:t>
      </w:r>
      <w:r w:rsidR="00074AD1" w:rsidRPr="004B502E">
        <w:rPr>
          <w:rFonts w:ascii="Times New Roman" w:hAnsi="Times New Roman" w:cs="Times New Roman"/>
          <w:sz w:val="24"/>
          <w:szCs w:val="24"/>
        </w:rPr>
        <w:t xml:space="preserve"> </w:t>
      </w:r>
      <w:r w:rsidR="002A0786" w:rsidRPr="004B502E">
        <w:rPr>
          <w:rFonts w:ascii="Times New Roman" w:hAnsi="Times New Roman" w:cs="Times New Roman"/>
          <w:sz w:val="24"/>
          <w:szCs w:val="24"/>
        </w:rPr>
        <w:t xml:space="preserve">in other profitability </w:t>
      </w:r>
      <w:r w:rsidRPr="004B502E">
        <w:rPr>
          <w:rFonts w:ascii="Times New Roman" w:hAnsi="Times New Roman" w:cs="Times New Roman"/>
          <w:sz w:val="24"/>
          <w:szCs w:val="24"/>
        </w:rPr>
        <w:t>studies with different data</w:t>
      </w:r>
      <w:r w:rsidR="00074AD1">
        <w:rPr>
          <w:rFonts w:ascii="Times New Roman" w:hAnsi="Times New Roman" w:cs="Times New Roman"/>
          <w:sz w:val="24"/>
          <w:szCs w:val="24"/>
        </w:rPr>
        <w:t xml:space="preserve"> </w:t>
      </w:r>
      <w:r w:rsidRPr="004B502E">
        <w:rPr>
          <w:rFonts w:ascii="Times New Roman" w:hAnsi="Times New Roman" w:cs="Times New Roman"/>
          <w:sz w:val="24"/>
          <w:szCs w:val="24"/>
        </w:rPr>
        <w:t>sets</w:t>
      </w:r>
      <w:r w:rsidR="002A0786" w:rsidRPr="004B502E">
        <w:rPr>
          <w:rFonts w:ascii="Times New Roman" w:hAnsi="Times New Roman" w:cs="Times New Roman"/>
          <w:sz w:val="24"/>
          <w:szCs w:val="24"/>
        </w:rPr>
        <w:t xml:space="preserve"> (e.g.</w:t>
      </w:r>
      <w:r w:rsidR="00074AD1">
        <w:rPr>
          <w:rFonts w:ascii="Times New Roman" w:hAnsi="Times New Roman" w:cs="Times New Roman"/>
          <w:sz w:val="24"/>
          <w:szCs w:val="24"/>
        </w:rPr>
        <w:t>,</w:t>
      </w:r>
      <w:r w:rsidR="002A0786" w:rsidRPr="004B502E">
        <w:rPr>
          <w:rFonts w:ascii="Times New Roman" w:hAnsi="Times New Roman" w:cs="Times New Roman"/>
          <w:sz w:val="24"/>
          <w:szCs w:val="24"/>
        </w:rPr>
        <w:t xml:space="preserve"> Smaoui &amp; Salah, 2012)</w:t>
      </w:r>
      <w:r w:rsidR="006B7844">
        <w:rPr>
          <w:rFonts w:ascii="Times New Roman" w:hAnsi="Times New Roman" w:cs="Times New Roman"/>
          <w:sz w:val="24"/>
          <w:szCs w:val="24"/>
        </w:rPr>
        <w:t>.</w:t>
      </w:r>
      <w:r w:rsidR="00100FD7" w:rsidRPr="004B502E">
        <w:rPr>
          <w:rFonts w:ascii="Times New Roman" w:hAnsi="Times New Roman" w:cs="Times New Roman"/>
          <w:sz w:val="24"/>
          <w:szCs w:val="24"/>
        </w:rPr>
        <w:t xml:space="preserve"> </w:t>
      </w:r>
    </w:p>
    <w:p w:rsidR="00676E5D" w:rsidRPr="004B502E" w:rsidRDefault="00230F55" w:rsidP="004B31AA">
      <w:pPr>
        <w:spacing w:line="480" w:lineRule="auto"/>
        <w:ind w:firstLine="720"/>
        <w:rPr>
          <w:rFonts w:ascii="Times New Roman" w:hAnsi="Times New Roman" w:cs="Times New Roman"/>
          <w:sz w:val="24"/>
          <w:szCs w:val="24"/>
        </w:rPr>
      </w:pPr>
      <w:r w:rsidRPr="004B502E">
        <w:rPr>
          <w:rFonts w:ascii="Times New Roman" w:hAnsi="Times New Roman" w:cs="Times New Roman"/>
          <w:sz w:val="24"/>
          <w:szCs w:val="24"/>
        </w:rPr>
        <w:t>Alkassim</w:t>
      </w:r>
      <w:r w:rsidR="006C5F3C" w:rsidRPr="004B502E">
        <w:rPr>
          <w:rFonts w:ascii="Times New Roman" w:hAnsi="Times New Roman" w:cs="Times New Roman"/>
          <w:sz w:val="24"/>
          <w:szCs w:val="24"/>
        </w:rPr>
        <w:t xml:space="preserve"> (2005)</w:t>
      </w:r>
      <w:r w:rsidR="00074AD1">
        <w:rPr>
          <w:rFonts w:ascii="Times New Roman" w:hAnsi="Times New Roman" w:cs="Times New Roman"/>
          <w:sz w:val="24"/>
          <w:szCs w:val="24"/>
        </w:rPr>
        <w:t xml:space="preserve"> </w:t>
      </w:r>
      <w:r w:rsidR="00B91F3B" w:rsidRPr="004B502E">
        <w:rPr>
          <w:rFonts w:ascii="Times New Roman" w:hAnsi="Times New Roman" w:cs="Times New Roman"/>
          <w:sz w:val="24"/>
          <w:szCs w:val="24"/>
        </w:rPr>
        <w:t xml:space="preserve">went beyond the Islamic banking concepts, and after evaluating the impact of </w:t>
      </w:r>
      <w:r w:rsidR="00EC3004" w:rsidRPr="004B502E">
        <w:rPr>
          <w:rFonts w:ascii="Times New Roman" w:hAnsi="Times New Roman" w:cs="Times New Roman"/>
          <w:sz w:val="24"/>
          <w:szCs w:val="24"/>
        </w:rPr>
        <w:t xml:space="preserve">internal banking ratios </w:t>
      </w:r>
      <w:r w:rsidR="004B31AA" w:rsidRPr="004B502E">
        <w:rPr>
          <w:rFonts w:ascii="Times New Roman" w:hAnsi="Times New Roman" w:cs="Times New Roman"/>
          <w:sz w:val="24"/>
          <w:szCs w:val="24"/>
        </w:rPr>
        <w:t>(i.e.</w:t>
      </w:r>
      <w:r w:rsidR="00074AD1">
        <w:rPr>
          <w:rFonts w:ascii="Times New Roman" w:hAnsi="Times New Roman" w:cs="Times New Roman"/>
          <w:sz w:val="24"/>
          <w:szCs w:val="24"/>
        </w:rPr>
        <w:t>,</w:t>
      </w:r>
      <w:r w:rsidR="004B31AA" w:rsidRPr="004B502E">
        <w:rPr>
          <w:rFonts w:ascii="Times New Roman" w:hAnsi="Times New Roman" w:cs="Times New Roman"/>
          <w:sz w:val="24"/>
          <w:szCs w:val="24"/>
        </w:rPr>
        <w:t xml:space="preserve"> capital ratio, total assets </w:t>
      </w:r>
      <w:r w:rsidR="001B6D97">
        <w:rPr>
          <w:rFonts w:ascii="Times New Roman" w:hAnsi="Times New Roman" w:cs="Times New Roman"/>
          <w:sz w:val="24"/>
          <w:szCs w:val="24"/>
        </w:rPr>
        <w:t>(</w:t>
      </w:r>
      <w:r w:rsidR="004B31AA" w:rsidRPr="004B502E">
        <w:rPr>
          <w:rFonts w:ascii="Times New Roman" w:hAnsi="Times New Roman" w:cs="Times New Roman"/>
          <w:sz w:val="24"/>
          <w:szCs w:val="24"/>
        </w:rPr>
        <w:t>bank</w:t>
      </w:r>
      <w:r w:rsidR="003B69F0">
        <w:rPr>
          <w:rFonts w:ascii="Times New Roman" w:hAnsi="Times New Roman" w:cs="Times New Roman"/>
          <w:sz w:val="24"/>
          <w:szCs w:val="24"/>
        </w:rPr>
        <w:t>’s</w:t>
      </w:r>
      <w:r w:rsidR="004B31AA" w:rsidRPr="004B502E">
        <w:rPr>
          <w:rFonts w:ascii="Times New Roman" w:hAnsi="Times New Roman" w:cs="Times New Roman"/>
          <w:sz w:val="24"/>
          <w:szCs w:val="24"/>
        </w:rPr>
        <w:t xml:space="preserve"> size variable</w:t>
      </w:r>
      <w:r w:rsidR="001B6D97">
        <w:rPr>
          <w:rFonts w:ascii="Times New Roman" w:hAnsi="Times New Roman" w:cs="Times New Roman"/>
          <w:sz w:val="24"/>
          <w:szCs w:val="24"/>
        </w:rPr>
        <w:t>)</w:t>
      </w:r>
      <w:r w:rsidR="004B31AA" w:rsidRPr="004B502E">
        <w:rPr>
          <w:rFonts w:ascii="Times New Roman" w:hAnsi="Times New Roman" w:cs="Times New Roman"/>
          <w:sz w:val="24"/>
          <w:szCs w:val="24"/>
        </w:rPr>
        <w:t>, liquidity ratio, expense management ratio, fund source management ratio</w:t>
      </w:r>
      <w:r w:rsidR="00074AD1">
        <w:rPr>
          <w:rFonts w:ascii="Times New Roman" w:hAnsi="Times New Roman" w:cs="Times New Roman"/>
          <w:sz w:val="24"/>
          <w:szCs w:val="24"/>
        </w:rPr>
        <w:t>,</w:t>
      </w:r>
      <w:r w:rsidR="004B31AA" w:rsidRPr="004B502E">
        <w:rPr>
          <w:rFonts w:ascii="Times New Roman" w:hAnsi="Times New Roman" w:cs="Times New Roman"/>
          <w:sz w:val="24"/>
          <w:szCs w:val="24"/>
        </w:rPr>
        <w:t xml:space="preserve"> and the ratio of non-interest expenses over total expenses) </w:t>
      </w:r>
      <w:r w:rsidR="00EC3004" w:rsidRPr="004B502E">
        <w:rPr>
          <w:rFonts w:ascii="Times New Roman" w:hAnsi="Times New Roman" w:cs="Times New Roman"/>
          <w:sz w:val="24"/>
          <w:szCs w:val="24"/>
        </w:rPr>
        <w:t>o</w:t>
      </w:r>
      <w:r w:rsidR="00B91F3B" w:rsidRPr="004B502E">
        <w:rPr>
          <w:rFonts w:ascii="Times New Roman" w:hAnsi="Times New Roman" w:cs="Times New Roman"/>
          <w:sz w:val="24"/>
          <w:szCs w:val="24"/>
        </w:rPr>
        <w:t>n the performance of Islamic and conventiona</w:t>
      </w:r>
      <w:r w:rsidR="002A0786" w:rsidRPr="004B502E">
        <w:rPr>
          <w:rFonts w:ascii="Times New Roman" w:hAnsi="Times New Roman" w:cs="Times New Roman"/>
          <w:sz w:val="24"/>
          <w:szCs w:val="24"/>
        </w:rPr>
        <w:t>l</w:t>
      </w:r>
      <w:r w:rsidR="00B91F3B" w:rsidRPr="004B502E">
        <w:rPr>
          <w:rFonts w:ascii="Times New Roman" w:hAnsi="Times New Roman" w:cs="Times New Roman"/>
          <w:sz w:val="24"/>
          <w:szCs w:val="24"/>
        </w:rPr>
        <w:t xml:space="preserve"> banks</w:t>
      </w:r>
      <w:r w:rsidR="00074AD1">
        <w:rPr>
          <w:rFonts w:ascii="Times New Roman" w:hAnsi="Times New Roman" w:cs="Times New Roman"/>
          <w:sz w:val="24"/>
          <w:szCs w:val="24"/>
        </w:rPr>
        <w:t>,</w:t>
      </w:r>
      <w:r w:rsidR="00D74EAA" w:rsidRPr="004B502E">
        <w:rPr>
          <w:rFonts w:ascii="Times New Roman" w:hAnsi="Times New Roman" w:cs="Times New Roman"/>
          <w:sz w:val="24"/>
          <w:szCs w:val="24"/>
        </w:rPr>
        <w:t xml:space="preserve"> </w:t>
      </w:r>
      <w:r w:rsidR="00335E95" w:rsidRPr="004B502E">
        <w:rPr>
          <w:rFonts w:ascii="Times New Roman" w:hAnsi="Times New Roman" w:cs="Times New Roman"/>
          <w:sz w:val="24"/>
          <w:szCs w:val="24"/>
        </w:rPr>
        <w:t>he</w:t>
      </w:r>
      <w:r w:rsidR="00B91F3B" w:rsidRPr="004B502E">
        <w:rPr>
          <w:rFonts w:ascii="Times New Roman" w:hAnsi="Times New Roman" w:cs="Times New Roman"/>
          <w:sz w:val="24"/>
          <w:szCs w:val="24"/>
        </w:rPr>
        <w:t xml:space="preserve"> </w:t>
      </w:r>
      <w:r w:rsidR="002A0786" w:rsidRPr="004B502E">
        <w:rPr>
          <w:rFonts w:ascii="Times New Roman" w:hAnsi="Times New Roman" w:cs="Times New Roman"/>
          <w:sz w:val="24"/>
          <w:szCs w:val="24"/>
        </w:rPr>
        <w:t xml:space="preserve">compared </w:t>
      </w:r>
      <w:r w:rsidR="00074AD1" w:rsidRPr="004B502E">
        <w:rPr>
          <w:rFonts w:ascii="Times New Roman" w:hAnsi="Times New Roman" w:cs="Times New Roman"/>
          <w:sz w:val="24"/>
          <w:szCs w:val="24"/>
        </w:rPr>
        <w:t>the</w:t>
      </w:r>
      <w:r w:rsidR="00074AD1">
        <w:rPr>
          <w:rFonts w:ascii="Times New Roman" w:hAnsi="Times New Roman" w:cs="Times New Roman"/>
          <w:sz w:val="24"/>
          <w:szCs w:val="24"/>
        </w:rPr>
        <w:t xml:space="preserve"> two</w:t>
      </w:r>
      <w:r w:rsidR="002A0786" w:rsidRPr="004B502E">
        <w:rPr>
          <w:rFonts w:ascii="Times New Roman" w:hAnsi="Times New Roman" w:cs="Times New Roman"/>
          <w:sz w:val="24"/>
          <w:szCs w:val="24"/>
        </w:rPr>
        <w:t xml:space="preserve">. For that purpose, </w:t>
      </w:r>
      <w:r w:rsidR="00335E95" w:rsidRPr="004B502E">
        <w:rPr>
          <w:rFonts w:ascii="Times New Roman" w:hAnsi="Times New Roman" w:cs="Times New Roman"/>
          <w:sz w:val="24"/>
          <w:szCs w:val="24"/>
        </w:rPr>
        <w:t xml:space="preserve">the </w:t>
      </w:r>
      <w:r w:rsidR="002A0786" w:rsidRPr="004B502E">
        <w:rPr>
          <w:rFonts w:ascii="Times New Roman" w:hAnsi="Times New Roman" w:cs="Times New Roman"/>
          <w:sz w:val="24"/>
          <w:szCs w:val="24"/>
        </w:rPr>
        <w:t xml:space="preserve">author </w:t>
      </w:r>
      <w:r w:rsidR="00074AD1">
        <w:rPr>
          <w:rFonts w:ascii="Times New Roman" w:hAnsi="Times New Roman" w:cs="Times New Roman"/>
          <w:sz w:val="24"/>
          <w:szCs w:val="24"/>
        </w:rPr>
        <w:t>us</w:t>
      </w:r>
      <w:r w:rsidR="00074AD1" w:rsidRPr="004B502E">
        <w:rPr>
          <w:rFonts w:ascii="Times New Roman" w:hAnsi="Times New Roman" w:cs="Times New Roman"/>
          <w:sz w:val="24"/>
          <w:szCs w:val="24"/>
        </w:rPr>
        <w:t xml:space="preserve">ed </w:t>
      </w:r>
      <w:r w:rsidR="005D033A">
        <w:rPr>
          <w:rFonts w:ascii="Times New Roman" w:hAnsi="Times New Roman" w:cs="Times New Roman"/>
          <w:sz w:val="24"/>
          <w:szCs w:val="24"/>
        </w:rPr>
        <w:t>two</w:t>
      </w:r>
      <w:r w:rsidR="004126B8" w:rsidRPr="004B502E">
        <w:rPr>
          <w:rFonts w:ascii="Times New Roman" w:hAnsi="Times New Roman" w:cs="Times New Roman"/>
          <w:sz w:val="24"/>
          <w:szCs w:val="24"/>
        </w:rPr>
        <w:t xml:space="preserve"> </w:t>
      </w:r>
      <w:r w:rsidR="00EC3004" w:rsidRPr="004B502E">
        <w:rPr>
          <w:rFonts w:ascii="Times New Roman" w:hAnsi="Times New Roman" w:cs="Times New Roman"/>
          <w:sz w:val="24"/>
          <w:szCs w:val="24"/>
        </w:rPr>
        <w:t>data</w:t>
      </w:r>
      <w:r w:rsidR="00074AD1">
        <w:rPr>
          <w:rFonts w:ascii="Times New Roman" w:hAnsi="Times New Roman" w:cs="Times New Roman"/>
          <w:sz w:val="24"/>
          <w:szCs w:val="24"/>
        </w:rPr>
        <w:t xml:space="preserve"> </w:t>
      </w:r>
      <w:r w:rsidR="004126B8" w:rsidRPr="004B502E">
        <w:rPr>
          <w:rFonts w:ascii="Times New Roman" w:hAnsi="Times New Roman" w:cs="Times New Roman"/>
          <w:sz w:val="24"/>
          <w:szCs w:val="24"/>
        </w:rPr>
        <w:t>sets</w:t>
      </w:r>
      <w:r w:rsidR="00EC3004" w:rsidRPr="004B502E">
        <w:rPr>
          <w:rFonts w:ascii="Times New Roman" w:hAnsi="Times New Roman" w:cs="Times New Roman"/>
          <w:sz w:val="24"/>
          <w:szCs w:val="24"/>
        </w:rPr>
        <w:t xml:space="preserve"> </w:t>
      </w:r>
      <w:r w:rsidR="00100FD7" w:rsidRPr="004B502E">
        <w:rPr>
          <w:rFonts w:ascii="Times New Roman" w:hAnsi="Times New Roman" w:cs="Times New Roman"/>
          <w:sz w:val="24"/>
          <w:szCs w:val="24"/>
        </w:rPr>
        <w:t xml:space="preserve">collected from 16 Islamic </w:t>
      </w:r>
      <w:r w:rsidR="006C5F3C" w:rsidRPr="004B502E">
        <w:rPr>
          <w:rFonts w:ascii="Times New Roman" w:hAnsi="Times New Roman" w:cs="Times New Roman"/>
          <w:sz w:val="24"/>
          <w:szCs w:val="24"/>
        </w:rPr>
        <w:t xml:space="preserve">and 18 </w:t>
      </w:r>
      <w:r w:rsidR="00074AD1">
        <w:rPr>
          <w:rFonts w:ascii="Times New Roman" w:hAnsi="Times New Roman" w:cs="Times New Roman"/>
          <w:sz w:val="24"/>
          <w:szCs w:val="24"/>
        </w:rPr>
        <w:t>c</w:t>
      </w:r>
      <w:r w:rsidR="00074AD1" w:rsidRPr="004B502E">
        <w:rPr>
          <w:rFonts w:ascii="Times New Roman" w:hAnsi="Times New Roman" w:cs="Times New Roman"/>
          <w:sz w:val="24"/>
          <w:szCs w:val="24"/>
        </w:rPr>
        <w:t xml:space="preserve">onventional </w:t>
      </w:r>
      <w:r w:rsidR="00074AD1">
        <w:rPr>
          <w:rFonts w:ascii="Times New Roman" w:hAnsi="Times New Roman" w:cs="Times New Roman"/>
          <w:sz w:val="24"/>
          <w:szCs w:val="24"/>
        </w:rPr>
        <w:t>b</w:t>
      </w:r>
      <w:r w:rsidR="00074AD1" w:rsidRPr="004B502E">
        <w:rPr>
          <w:rFonts w:ascii="Times New Roman" w:hAnsi="Times New Roman" w:cs="Times New Roman"/>
          <w:sz w:val="24"/>
          <w:szCs w:val="24"/>
        </w:rPr>
        <w:t xml:space="preserve">anks </w:t>
      </w:r>
      <w:r w:rsidR="004B31AA" w:rsidRPr="004B502E">
        <w:rPr>
          <w:rFonts w:ascii="Times New Roman" w:hAnsi="Times New Roman" w:cs="Times New Roman"/>
          <w:sz w:val="24"/>
          <w:szCs w:val="24"/>
        </w:rPr>
        <w:t>from</w:t>
      </w:r>
      <w:r w:rsidR="00335E95" w:rsidRPr="004B502E">
        <w:rPr>
          <w:rFonts w:ascii="Times New Roman" w:hAnsi="Times New Roman" w:cs="Times New Roman"/>
          <w:sz w:val="24"/>
          <w:szCs w:val="24"/>
        </w:rPr>
        <w:t xml:space="preserve"> the</w:t>
      </w:r>
      <w:r w:rsidR="004B31AA" w:rsidRPr="004B502E">
        <w:rPr>
          <w:rFonts w:ascii="Times New Roman" w:hAnsi="Times New Roman" w:cs="Times New Roman"/>
          <w:sz w:val="24"/>
          <w:szCs w:val="24"/>
        </w:rPr>
        <w:t xml:space="preserve"> </w:t>
      </w:r>
      <w:r w:rsidR="00074AD1" w:rsidRPr="004B502E">
        <w:rPr>
          <w:rFonts w:ascii="Times New Roman" w:hAnsi="Times New Roman" w:cs="Times New Roman"/>
          <w:sz w:val="24"/>
          <w:szCs w:val="24"/>
        </w:rPr>
        <w:t>Gulf Cooperation Council (GCC</w:t>
      </w:r>
      <w:r w:rsidR="00D74EAA" w:rsidRPr="004B502E">
        <w:rPr>
          <w:rFonts w:ascii="Times New Roman" w:hAnsi="Times New Roman" w:cs="Times New Roman"/>
          <w:sz w:val="24"/>
          <w:szCs w:val="24"/>
        </w:rPr>
        <w:t>)</w:t>
      </w:r>
      <w:r w:rsidR="004B31AA" w:rsidRPr="004B502E">
        <w:rPr>
          <w:rFonts w:ascii="Times New Roman" w:hAnsi="Times New Roman" w:cs="Times New Roman"/>
          <w:sz w:val="24"/>
          <w:szCs w:val="24"/>
        </w:rPr>
        <w:t xml:space="preserve"> region </w:t>
      </w:r>
      <w:r w:rsidR="00100FD7" w:rsidRPr="004B502E">
        <w:rPr>
          <w:rFonts w:ascii="Times New Roman" w:hAnsi="Times New Roman" w:cs="Times New Roman"/>
          <w:sz w:val="24"/>
          <w:szCs w:val="24"/>
        </w:rPr>
        <w:t>for</w:t>
      </w:r>
      <w:r w:rsidR="002A0786" w:rsidRPr="004B502E">
        <w:rPr>
          <w:rFonts w:ascii="Times New Roman" w:hAnsi="Times New Roman" w:cs="Times New Roman"/>
          <w:sz w:val="24"/>
          <w:szCs w:val="24"/>
        </w:rPr>
        <w:t xml:space="preserve"> the period from 1997 to </w:t>
      </w:r>
      <w:r w:rsidR="00EC3004" w:rsidRPr="004B502E">
        <w:rPr>
          <w:rFonts w:ascii="Times New Roman" w:hAnsi="Times New Roman" w:cs="Times New Roman"/>
          <w:sz w:val="24"/>
          <w:szCs w:val="24"/>
        </w:rPr>
        <w:t xml:space="preserve">2004. </w:t>
      </w:r>
      <w:r w:rsidR="002A0786" w:rsidRPr="004B502E">
        <w:rPr>
          <w:rFonts w:ascii="Times New Roman" w:hAnsi="Times New Roman" w:cs="Times New Roman"/>
          <w:sz w:val="24"/>
          <w:szCs w:val="24"/>
        </w:rPr>
        <w:t xml:space="preserve">After </w:t>
      </w:r>
      <w:r w:rsidR="006C5F3C" w:rsidRPr="004B502E">
        <w:rPr>
          <w:rFonts w:ascii="Times New Roman" w:hAnsi="Times New Roman" w:cs="Times New Roman"/>
          <w:sz w:val="24"/>
          <w:szCs w:val="24"/>
        </w:rPr>
        <w:t xml:space="preserve">utilizing separate regression analysis for </w:t>
      </w:r>
      <w:r w:rsidR="002A0786" w:rsidRPr="004B502E">
        <w:rPr>
          <w:rFonts w:ascii="Times New Roman" w:hAnsi="Times New Roman" w:cs="Times New Roman"/>
          <w:sz w:val="24"/>
          <w:szCs w:val="24"/>
        </w:rPr>
        <w:t>each of the data</w:t>
      </w:r>
      <w:r w:rsidR="00074AD1">
        <w:rPr>
          <w:rFonts w:ascii="Times New Roman" w:hAnsi="Times New Roman" w:cs="Times New Roman"/>
          <w:sz w:val="24"/>
          <w:szCs w:val="24"/>
        </w:rPr>
        <w:t xml:space="preserve"> </w:t>
      </w:r>
      <w:r w:rsidR="002A0786" w:rsidRPr="004B502E">
        <w:rPr>
          <w:rFonts w:ascii="Times New Roman" w:hAnsi="Times New Roman" w:cs="Times New Roman"/>
          <w:sz w:val="24"/>
          <w:szCs w:val="24"/>
        </w:rPr>
        <w:t xml:space="preserve">sets, </w:t>
      </w:r>
      <w:r w:rsidR="00335E95" w:rsidRPr="004B502E">
        <w:rPr>
          <w:rFonts w:ascii="Times New Roman" w:hAnsi="Times New Roman" w:cs="Times New Roman"/>
          <w:sz w:val="24"/>
          <w:szCs w:val="24"/>
        </w:rPr>
        <w:t xml:space="preserve">the </w:t>
      </w:r>
      <w:r w:rsidR="002A0786" w:rsidRPr="004B502E">
        <w:rPr>
          <w:rFonts w:ascii="Times New Roman" w:hAnsi="Times New Roman" w:cs="Times New Roman"/>
          <w:sz w:val="24"/>
          <w:szCs w:val="24"/>
        </w:rPr>
        <w:t>author came</w:t>
      </w:r>
      <w:r w:rsidR="007D2666" w:rsidRPr="004B502E">
        <w:rPr>
          <w:rFonts w:ascii="Times New Roman" w:hAnsi="Times New Roman" w:cs="Times New Roman"/>
          <w:sz w:val="24"/>
          <w:szCs w:val="24"/>
        </w:rPr>
        <w:t xml:space="preserve"> to the conclusion that</w:t>
      </w:r>
      <w:r w:rsidR="0060010D" w:rsidRPr="004B502E">
        <w:rPr>
          <w:rFonts w:ascii="Times New Roman" w:hAnsi="Times New Roman" w:cs="Times New Roman"/>
          <w:sz w:val="24"/>
          <w:szCs w:val="24"/>
        </w:rPr>
        <w:t xml:space="preserve"> </w:t>
      </w:r>
      <w:r w:rsidR="009D11CB" w:rsidRPr="004B502E">
        <w:rPr>
          <w:rFonts w:ascii="Times New Roman" w:hAnsi="Times New Roman" w:cs="Times New Roman"/>
          <w:sz w:val="24"/>
          <w:szCs w:val="24"/>
        </w:rPr>
        <w:t>total banking assets (the bank</w:t>
      </w:r>
      <w:r w:rsidR="003B69F0">
        <w:rPr>
          <w:rFonts w:ascii="Times New Roman" w:hAnsi="Times New Roman" w:cs="Times New Roman"/>
          <w:sz w:val="24"/>
          <w:szCs w:val="24"/>
        </w:rPr>
        <w:t>’s</w:t>
      </w:r>
      <w:r w:rsidR="009D11CB" w:rsidRPr="004B502E">
        <w:rPr>
          <w:rFonts w:ascii="Times New Roman" w:hAnsi="Times New Roman" w:cs="Times New Roman"/>
          <w:sz w:val="24"/>
          <w:szCs w:val="24"/>
        </w:rPr>
        <w:t xml:space="preserve"> size</w:t>
      </w:r>
      <w:r w:rsidR="002A0786" w:rsidRPr="004B502E">
        <w:rPr>
          <w:rFonts w:ascii="Times New Roman" w:hAnsi="Times New Roman" w:cs="Times New Roman"/>
          <w:sz w:val="24"/>
          <w:szCs w:val="24"/>
        </w:rPr>
        <w:t xml:space="preserve"> variable) ha</w:t>
      </w:r>
      <w:r w:rsidR="00074AD1">
        <w:rPr>
          <w:rFonts w:ascii="Times New Roman" w:hAnsi="Times New Roman" w:cs="Times New Roman"/>
          <w:sz w:val="24"/>
          <w:szCs w:val="24"/>
        </w:rPr>
        <w:t>ve</w:t>
      </w:r>
      <w:r w:rsidR="002A0786" w:rsidRPr="004B502E">
        <w:rPr>
          <w:rFonts w:ascii="Times New Roman" w:hAnsi="Times New Roman" w:cs="Times New Roman"/>
          <w:sz w:val="24"/>
          <w:szCs w:val="24"/>
        </w:rPr>
        <w:t xml:space="preserve"> a negative effect</w:t>
      </w:r>
      <w:r w:rsidR="009D11CB" w:rsidRPr="004B502E">
        <w:rPr>
          <w:rFonts w:ascii="Times New Roman" w:hAnsi="Times New Roman" w:cs="Times New Roman"/>
          <w:sz w:val="24"/>
          <w:szCs w:val="24"/>
        </w:rPr>
        <w:t xml:space="preserve"> on conventional banks’ p</w:t>
      </w:r>
      <w:r w:rsidR="002A0786" w:rsidRPr="004B502E">
        <w:rPr>
          <w:rFonts w:ascii="Times New Roman" w:hAnsi="Times New Roman" w:cs="Times New Roman"/>
          <w:sz w:val="24"/>
          <w:szCs w:val="24"/>
        </w:rPr>
        <w:t>erformance and a positive effect</w:t>
      </w:r>
      <w:r w:rsidR="009D11CB" w:rsidRPr="004B502E">
        <w:rPr>
          <w:rFonts w:ascii="Times New Roman" w:hAnsi="Times New Roman" w:cs="Times New Roman"/>
          <w:sz w:val="24"/>
          <w:szCs w:val="24"/>
        </w:rPr>
        <w:t xml:space="preserve"> on </w:t>
      </w:r>
      <w:r w:rsidR="00852351">
        <w:rPr>
          <w:rFonts w:ascii="Times New Roman" w:hAnsi="Times New Roman" w:cs="Times New Roman"/>
          <w:sz w:val="24"/>
          <w:szCs w:val="24"/>
        </w:rPr>
        <w:t>Islamic banks</w:t>
      </w:r>
      <w:r w:rsidR="009D11CB" w:rsidRPr="004B502E">
        <w:rPr>
          <w:rFonts w:ascii="Times New Roman" w:hAnsi="Times New Roman" w:cs="Times New Roman"/>
          <w:sz w:val="24"/>
          <w:szCs w:val="24"/>
        </w:rPr>
        <w:t xml:space="preserve">’ performance. Furthermore, </w:t>
      </w:r>
      <w:r w:rsidR="002A0786" w:rsidRPr="004B502E">
        <w:rPr>
          <w:rFonts w:ascii="Times New Roman" w:hAnsi="Times New Roman" w:cs="Times New Roman"/>
          <w:sz w:val="24"/>
          <w:szCs w:val="24"/>
        </w:rPr>
        <w:t xml:space="preserve">according to Alkassim, </w:t>
      </w:r>
      <w:r w:rsidR="009D11CB" w:rsidRPr="004B502E">
        <w:rPr>
          <w:rFonts w:ascii="Times New Roman" w:hAnsi="Times New Roman" w:cs="Times New Roman"/>
          <w:sz w:val="24"/>
          <w:szCs w:val="24"/>
        </w:rPr>
        <w:t xml:space="preserve">high capital adequacy ratio and total </w:t>
      </w:r>
      <w:r w:rsidR="002A0786" w:rsidRPr="004B502E">
        <w:rPr>
          <w:rFonts w:ascii="Times New Roman" w:hAnsi="Times New Roman" w:cs="Times New Roman"/>
          <w:sz w:val="24"/>
          <w:szCs w:val="24"/>
        </w:rPr>
        <w:t>loans had</w:t>
      </w:r>
      <w:r w:rsidR="009D11CB" w:rsidRPr="004B502E">
        <w:rPr>
          <w:rFonts w:ascii="Times New Roman" w:hAnsi="Times New Roman" w:cs="Times New Roman"/>
          <w:sz w:val="24"/>
          <w:szCs w:val="24"/>
        </w:rPr>
        <w:t xml:space="preserve"> a positive impact on both of the banks’ performance. The Islamic banking results of this study are consistent with those </w:t>
      </w:r>
      <w:r w:rsidR="002A0786" w:rsidRPr="004B502E">
        <w:rPr>
          <w:rFonts w:ascii="Times New Roman" w:hAnsi="Times New Roman" w:cs="Times New Roman"/>
          <w:sz w:val="24"/>
          <w:szCs w:val="24"/>
        </w:rPr>
        <w:t xml:space="preserve">obtained in </w:t>
      </w:r>
      <w:r w:rsidR="009D11CB" w:rsidRPr="004B502E">
        <w:rPr>
          <w:rFonts w:ascii="Times New Roman" w:hAnsi="Times New Roman" w:cs="Times New Roman"/>
          <w:sz w:val="24"/>
          <w:szCs w:val="24"/>
        </w:rPr>
        <w:t>previous</w:t>
      </w:r>
      <w:r w:rsidR="006B7968" w:rsidRPr="004B502E">
        <w:rPr>
          <w:rFonts w:ascii="Times New Roman" w:hAnsi="Times New Roman" w:cs="Times New Roman"/>
          <w:sz w:val="24"/>
          <w:szCs w:val="24"/>
        </w:rPr>
        <w:t xml:space="preserve"> studie</w:t>
      </w:r>
      <w:r w:rsidR="00951213" w:rsidRPr="004B502E">
        <w:rPr>
          <w:rFonts w:ascii="Times New Roman" w:hAnsi="Times New Roman" w:cs="Times New Roman"/>
          <w:sz w:val="24"/>
          <w:szCs w:val="24"/>
        </w:rPr>
        <w:t>s (Bashir, 2003; Hassan &amp;</w:t>
      </w:r>
      <w:r w:rsidR="009D11CB" w:rsidRPr="004B502E">
        <w:rPr>
          <w:rFonts w:ascii="Times New Roman" w:hAnsi="Times New Roman" w:cs="Times New Roman"/>
          <w:sz w:val="24"/>
          <w:szCs w:val="24"/>
        </w:rPr>
        <w:t xml:space="preserve"> Bashir, 2003)</w:t>
      </w:r>
      <w:r w:rsidR="00676E5D" w:rsidRPr="004B502E">
        <w:rPr>
          <w:rFonts w:ascii="Times New Roman" w:hAnsi="Times New Roman" w:cs="Times New Roman"/>
          <w:sz w:val="24"/>
          <w:szCs w:val="24"/>
        </w:rPr>
        <w:t>.</w:t>
      </w:r>
      <w:r w:rsidR="009D11CB" w:rsidRPr="004B502E">
        <w:rPr>
          <w:rFonts w:ascii="Times New Roman" w:hAnsi="Times New Roman" w:cs="Times New Roman"/>
          <w:sz w:val="24"/>
          <w:szCs w:val="24"/>
        </w:rPr>
        <w:t xml:space="preserve"> </w:t>
      </w:r>
    </w:p>
    <w:p w:rsidR="00290E91" w:rsidRPr="004B502E" w:rsidRDefault="00C23CAE" w:rsidP="00290E91">
      <w:pPr>
        <w:spacing w:line="480" w:lineRule="auto"/>
        <w:ind w:firstLine="720"/>
        <w:rPr>
          <w:rFonts w:ascii="Times New Roman" w:hAnsi="Times New Roman" w:cs="Times New Roman"/>
          <w:sz w:val="24"/>
          <w:szCs w:val="24"/>
        </w:rPr>
      </w:pPr>
      <w:r w:rsidRPr="004B502E">
        <w:rPr>
          <w:rFonts w:ascii="Times New Roman" w:hAnsi="Times New Roman" w:cs="Times New Roman"/>
          <w:sz w:val="24"/>
          <w:szCs w:val="24"/>
        </w:rPr>
        <w:t>Zeitun (2012</w:t>
      </w:r>
      <w:r w:rsidR="006C5F3C" w:rsidRPr="004B502E">
        <w:rPr>
          <w:rFonts w:ascii="Times New Roman" w:hAnsi="Times New Roman" w:cs="Times New Roman"/>
          <w:sz w:val="24"/>
          <w:szCs w:val="24"/>
        </w:rPr>
        <w:t xml:space="preserve">) </w:t>
      </w:r>
      <w:r w:rsidR="004B31AA" w:rsidRPr="004B502E">
        <w:rPr>
          <w:rFonts w:ascii="Times New Roman" w:hAnsi="Times New Roman" w:cs="Times New Roman"/>
          <w:sz w:val="24"/>
          <w:szCs w:val="24"/>
        </w:rPr>
        <w:t>advanced the approach implemente</w:t>
      </w:r>
      <w:r w:rsidR="00631816" w:rsidRPr="004B502E">
        <w:rPr>
          <w:rFonts w:ascii="Times New Roman" w:hAnsi="Times New Roman" w:cs="Times New Roman"/>
          <w:sz w:val="24"/>
          <w:szCs w:val="24"/>
        </w:rPr>
        <w:t>d by Alkassim (2005), by using external ratios along with</w:t>
      </w:r>
      <w:r w:rsidR="004B31AA" w:rsidRPr="004B502E">
        <w:rPr>
          <w:rFonts w:ascii="Times New Roman" w:hAnsi="Times New Roman" w:cs="Times New Roman"/>
          <w:sz w:val="24"/>
          <w:szCs w:val="24"/>
        </w:rPr>
        <w:t xml:space="preserve"> internal</w:t>
      </w:r>
      <w:r w:rsidR="00631816" w:rsidRPr="004B502E">
        <w:rPr>
          <w:rFonts w:ascii="Times New Roman" w:hAnsi="Times New Roman" w:cs="Times New Roman"/>
          <w:sz w:val="24"/>
          <w:szCs w:val="24"/>
        </w:rPr>
        <w:t xml:space="preserve"> ratios. Zeitun, </w:t>
      </w:r>
      <w:r w:rsidR="00335E95" w:rsidRPr="004B502E">
        <w:rPr>
          <w:rFonts w:ascii="Times New Roman" w:hAnsi="Times New Roman" w:cs="Times New Roman"/>
          <w:sz w:val="24"/>
          <w:szCs w:val="24"/>
        </w:rPr>
        <w:t>unlike</w:t>
      </w:r>
      <w:r w:rsidR="00631816" w:rsidRPr="004B502E">
        <w:rPr>
          <w:rFonts w:ascii="Times New Roman" w:hAnsi="Times New Roman" w:cs="Times New Roman"/>
          <w:sz w:val="24"/>
          <w:szCs w:val="24"/>
        </w:rPr>
        <w:t xml:space="preserve"> Alkassim, </w:t>
      </w:r>
      <w:r w:rsidR="00074AD1">
        <w:rPr>
          <w:rFonts w:ascii="Times New Roman" w:hAnsi="Times New Roman" w:cs="Times New Roman"/>
          <w:sz w:val="24"/>
          <w:szCs w:val="24"/>
        </w:rPr>
        <w:t>us</w:t>
      </w:r>
      <w:r w:rsidR="00074AD1" w:rsidRPr="004B502E">
        <w:rPr>
          <w:rFonts w:ascii="Times New Roman" w:hAnsi="Times New Roman" w:cs="Times New Roman"/>
          <w:sz w:val="24"/>
          <w:szCs w:val="24"/>
        </w:rPr>
        <w:t xml:space="preserve">ed </w:t>
      </w:r>
      <w:r w:rsidR="00631816" w:rsidRPr="004B502E">
        <w:rPr>
          <w:rFonts w:ascii="Times New Roman" w:hAnsi="Times New Roman" w:cs="Times New Roman"/>
          <w:sz w:val="24"/>
          <w:szCs w:val="24"/>
        </w:rPr>
        <w:t>a more update</w:t>
      </w:r>
      <w:r w:rsidR="00074AD1">
        <w:rPr>
          <w:rFonts w:ascii="Times New Roman" w:hAnsi="Times New Roman" w:cs="Times New Roman"/>
          <w:sz w:val="24"/>
          <w:szCs w:val="24"/>
        </w:rPr>
        <w:t>d</w:t>
      </w:r>
      <w:r w:rsidR="00631816" w:rsidRPr="004B502E">
        <w:rPr>
          <w:rFonts w:ascii="Times New Roman" w:hAnsi="Times New Roman" w:cs="Times New Roman"/>
          <w:sz w:val="24"/>
          <w:szCs w:val="24"/>
        </w:rPr>
        <w:t xml:space="preserve"> and wider data set </w:t>
      </w:r>
      <w:r w:rsidR="00521D89" w:rsidRPr="004B502E">
        <w:rPr>
          <w:rFonts w:ascii="Times New Roman" w:hAnsi="Times New Roman" w:cs="Times New Roman"/>
          <w:sz w:val="24"/>
          <w:szCs w:val="24"/>
        </w:rPr>
        <w:t>(</w:t>
      </w:r>
      <w:r w:rsidR="00290E91" w:rsidRPr="004B502E">
        <w:rPr>
          <w:rFonts w:ascii="Times New Roman" w:hAnsi="Times New Roman" w:cs="Times New Roman"/>
          <w:sz w:val="24"/>
          <w:szCs w:val="24"/>
        </w:rPr>
        <w:t xml:space="preserve">data </w:t>
      </w:r>
      <w:r w:rsidR="00521D89" w:rsidRPr="004B502E">
        <w:rPr>
          <w:rFonts w:ascii="Times New Roman" w:hAnsi="Times New Roman" w:cs="Times New Roman"/>
          <w:sz w:val="24"/>
          <w:szCs w:val="24"/>
        </w:rPr>
        <w:t xml:space="preserve">were </w:t>
      </w:r>
      <w:r w:rsidR="00290E91" w:rsidRPr="004B502E">
        <w:rPr>
          <w:rFonts w:ascii="Times New Roman" w:hAnsi="Times New Roman" w:cs="Times New Roman"/>
          <w:sz w:val="24"/>
          <w:szCs w:val="24"/>
        </w:rPr>
        <w:t xml:space="preserve">collected from 38 conventional and 13 </w:t>
      </w:r>
      <w:r w:rsidR="00852351">
        <w:rPr>
          <w:rFonts w:ascii="Times New Roman" w:hAnsi="Times New Roman" w:cs="Times New Roman"/>
          <w:sz w:val="24"/>
          <w:szCs w:val="24"/>
        </w:rPr>
        <w:t>Islamic banks</w:t>
      </w:r>
      <w:r w:rsidR="00631816" w:rsidRPr="004B502E">
        <w:rPr>
          <w:rFonts w:ascii="Times New Roman" w:hAnsi="Times New Roman" w:cs="Times New Roman"/>
          <w:sz w:val="24"/>
          <w:szCs w:val="24"/>
        </w:rPr>
        <w:t xml:space="preserve"> for the period from 2002 to </w:t>
      </w:r>
      <w:r w:rsidR="00290E91" w:rsidRPr="004B502E">
        <w:rPr>
          <w:rFonts w:ascii="Times New Roman" w:hAnsi="Times New Roman" w:cs="Times New Roman"/>
          <w:sz w:val="24"/>
          <w:szCs w:val="24"/>
        </w:rPr>
        <w:t>2009</w:t>
      </w:r>
      <w:r w:rsidR="00521D89" w:rsidRPr="004B502E">
        <w:rPr>
          <w:rFonts w:ascii="Times New Roman" w:hAnsi="Times New Roman" w:cs="Times New Roman"/>
          <w:sz w:val="24"/>
          <w:szCs w:val="24"/>
        </w:rPr>
        <w:t>)</w:t>
      </w:r>
      <w:r w:rsidR="00631816" w:rsidRPr="004B502E">
        <w:rPr>
          <w:rFonts w:ascii="Times New Roman" w:hAnsi="Times New Roman" w:cs="Times New Roman"/>
          <w:sz w:val="24"/>
          <w:szCs w:val="24"/>
        </w:rPr>
        <w:t xml:space="preserve"> from the same GCC region</w:t>
      </w:r>
      <w:r w:rsidR="00290E91" w:rsidRPr="004B502E">
        <w:rPr>
          <w:rFonts w:ascii="Times New Roman" w:hAnsi="Times New Roman" w:cs="Times New Roman"/>
          <w:sz w:val="24"/>
          <w:szCs w:val="24"/>
        </w:rPr>
        <w:t xml:space="preserve">. </w:t>
      </w:r>
      <w:r w:rsidRPr="004B502E">
        <w:rPr>
          <w:rFonts w:ascii="Times New Roman" w:hAnsi="Times New Roman" w:cs="Times New Roman"/>
          <w:sz w:val="24"/>
          <w:szCs w:val="24"/>
        </w:rPr>
        <w:t>In this study, compared with previous studies</w:t>
      </w:r>
      <w:r w:rsidR="00631816" w:rsidRPr="004B502E">
        <w:rPr>
          <w:rFonts w:ascii="Times New Roman" w:hAnsi="Times New Roman" w:cs="Times New Roman"/>
          <w:sz w:val="24"/>
          <w:szCs w:val="24"/>
        </w:rPr>
        <w:t xml:space="preserve"> (Bashir, 2003; Hassan &amp; Bashir, 2003),</w:t>
      </w:r>
      <w:r w:rsidR="00383CF6" w:rsidRPr="004B502E">
        <w:rPr>
          <w:rFonts w:ascii="Times New Roman" w:hAnsi="Times New Roman" w:cs="Times New Roman"/>
          <w:sz w:val="24"/>
          <w:szCs w:val="24"/>
        </w:rPr>
        <w:t xml:space="preserve"> the</w:t>
      </w:r>
      <w:r w:rsidR="00631816" w:rsidRPr="004B502E">
        <w:rPr>
          <w:rFonts w:ascii="Times New Roman" w:hAnsi="Times New Roman" w:cs="Times New Roman"/>
          <w:sz w:val="24"/>
          <w:szCs w:val="24"/>
        </w:rPr>
        <w:t xml:space="preserve"> author revealed</w:t>
      </w:r>
      <w:r w:rsidRPr="004B502E">
        <w:rPr>
          <w:rFonts w:ascii="Times New Roman" w:hAnsi="Times New Roman" w:cs="Times New Roman"/>
          <w:sz w:val="24"/>
          <w:szCs w:val="24"/>
        </w:rPr>
        <w:t xml:space="preserve"> that bank equity do</w:t>
      </w:r>
      <w:r w:rsidR="00074AD1">
        <w:rPr>
          <w:rFonts w:ascii="Times New Roman" w:hAnsi="Times New Roman" w:cs="Times New Roman"/>
          <w:sz w:val="24"/>
          <w:szCs w:val="24"/>
        </w:rPr>
        <w:t>es</w:t>
      </w:r>
      <w:r w:rsidRPr="004B502E">
        <w:rPr>
          <w:rFonts w:ascii="Times New Roman" w:hAnsi="Times New Roman" w:cs="Times New Roman"/>
          <w:sz w:val="24"/>
          <w:szCs w:val="24"/>
        </w:rPr>
        <w:t xml:space="preserve"> not have a significant effect on the performance of </w:t>
      </w:r>
      <w:r w:rsidR="00852351">
        <w:rPr>
          <w:rFonts w:ascii="Times New Roman" w:hAnsi="Times New Roman" w:cs="Times New Roman"/>
          <w:sz w:val="24"/>
          <w:szCs w:val="24"/>
        </w:rPr>
        <w:t>Islamic banks</w:t>
      </w:r>
      <w:r w:rsidR="00631816" w:rsidRPr="004B502E">
        <w:rPr>
          <w:rFonts w:ascii="Times New Roman" w:hAnsi="Times New Roman" w:cs="Times New Roman"/>
          <w:sz w:val="24"/>
          <w:szCs w:val="24"/>
        </w:rPr>
        <w:t xml:space="preserve">. Furthermore, </w:t>
      </w:r>
      <w:r w:rsidR="00383CF6" w:rsidRPr="004B502E">
        <w:rPr>
          <w:rFonts w:ascii="Times New Roman" w:hAnsi="Times New Roman" w:cs="Times New Roman"/>
          <w:sz w:val="24"/>
          <w:szCs w:val="24"/>
        </w:rPr>
        <w:t xml:space="preserve">the </w:t>
      </w:r>
      <w:r w:rsidR="00631816" w:rsidRPr="004B502E">
        <w:rPr>
          <w:rFonts w:ascii="Times New Roman" w:hAnsi="Times New Roman" w:cs="Times New Roman"/>
          <w:sz w:val="24"/>
          <w:szCs w:val="24"/>
        </w:rPr>
        <w:t>author foun</w:t>
      </w:r>
      <w:r w:rsidRPr="004B502E">
        <w:rPr>
          <w:rFonts w:ascii="Times New Roman" w:hAnsi="Times New Roman" w:cs="Times New Roman"/>
          <w:sz w:val="24"/>
          <w:szCs w:val="24"/>
        </w:rPr>
        <w:t xml:space="preserve">d that </w:t>
      </w:r>
      <w:r w:rsidR="00383CF6" w:rsidRPr="004B502E">
        <w:rPr>
          <w:rFonts w:ascii="Times New Roman" w:hAnsi="Times New Roman" w:cs="Times New Roman"/>
          <w:sz w:val="24"/>
          <w:szCs w:val="24"/>
        </w:rPr>
        <w:t xml:space="preserve">the </w:t>
      </w:r>
      <w:r w:rsidR="00074AD1" w:rsidRPr="004B502E">
        <w:rPr>
          <w:rFonts w:ascii="Times New Roman" w:hAnsi="Times New Roman" w:cs="Times New Roman"/>
          <w:sz w:val="24"/>
          <w:szCs w:val="24"/>
        </w:rPr>
        <w:t>cost</w:t>
      </w:r>
      <w:r w:rsidR="00074AD1">
        <w:rPr>
          <w:rFonts w:ascii="Times New Roman" w:hAnsi="Times New Roman" w:cs="Times New Roman"/>
          <w:sz w:val="24"/>
          <w:szCs w:val="24"/>
        </w:rPr>
        <w:t>-</w:t>
      </w:r>
      <w:r w:rsidR="00074AD1" w:rsidRPr="004B502E">
        <w:rPr>
          <w:rFonts w:ascii="Times New Roman" w:hAnsi="Times New Roman" w:cs="Times New Roman"/>
          <w:sz w:val="24"/>
          <w:szCs w:val="24"/>
        </w:rPr>
        <w:t>to</w:t>
      </w:r>
      <w:r w:rsidR="00074AD1">
        <w:rPr>
          <w:rFonts w:ascii="Times New Roman" w:hAnsi="Times New Roman" w:cs="Times New Roman"/>
          <w:sz w:val="24"/>
          <w:szCs w:val="24"/>
        </w:rPr>
        <w:t>-</w:t>
      </w:r>
      <w:r w:rsidRPr="004B502E">
        <w:rPr>
          <w:rFonts w:ascii="Times New Roman" w:hAnsi="Times New Roman" w:cs="Times New Roman"/>
          <w:sz w:val="24"/>
          <w:szCs w:val="24"/>
        </w:rPr>
        <w:t xml:space="preserve">income ratio </w:t>
      </w:r>
      <w:r w:rsidR="00156B0F" w:rsidRPr="004B502E">
        <w:rPr>
          <w:rFonts w:ascii="Times New Roman" w:hAnsi="Times New Roman" w:cs="Times New Roman"/>
          <w:sz w:val="24"/>
          <w:szCs w:val="24"/>
        </w:rPr>
        <w:t xml:space="preserve">and the inflation rate </w:t>
      </w:r>
      <w:r w:rsidRPr="004B502E">
        <w:rPr>
          <w:rFonts w:ascii="Times New Roman" w:hAnsi="Times New Roman" w:cs="Times New Roman"/>
          <w:sz w:val="24"/>
          <w:szCs w:val="24"/>
        </w:rPr>
        <w:t xml:space="preserve">negatively </w:t>
      </w:r>
      <w:r w:rsidR="00156B0F" w:rsidRPr="004B502E">
        <w:rPr>
          <w:rFonts w:ascii="Times New Roman" w:hAnsi="Times New Roman" w:cs="Times New Roman"/>
          <w:sz w:val="24"/>
          <w:szCs w:val="24"/>
        </w:rPr>
        <w:t>affect</w:t>
      </w:r>
      <w:r w:rsidRPr="004B502E">
        <w:rPr>
          <w:rFonts w:ascii="Times New Roman" w:hAnsi="Times New Roman" w:cs="Times New Roman"/>
          <w:sz w:val="24"/>
          <w:szCs w:val="24"/>
        </w:rPr>
        <w:t xml:space="preserve"> the </w:t>
      </w:r>
      <w:r w:rsidR="00852351">
        <w:rPr>
          <w:rFonts w:ascii="Times New Roman" w:hAnsi="Times New Roman" w:cs="Times New Roman"/>
          <w:sz w:val="24"/>
          <w:szCs w:val="24"/>
        </w:rPr>
        <w:t>Islamic banks</w:t>
      </w:r>
      <w:r w:rsidRPr="004B502E">
        <w:rPr>
          <w:rFonts w:ascii="Times New Roman" w:hAnsi="Times New Roman" w:cs="Times New Roman"/>
          <w:sz w:val="24"/>
          <w:szCs w:val="24"/>
        </w:rPr>
        <w:t xml:space="preserve">’ performance. </w:t>
      </w:r>
      <w:r w:rsidR="00521D89" w:rsidRPr="004B502E">
        <w:rPr>
          <w:rFonts w:ascii="Times New Roman" w:hAnsi="Times New Roman" w:cs="Times New Roman"/>
          <w:sz w:val="24"/>
          <w:szCs w:val="24"/>
        </w:rPr>
        <w:t>According to the results,</w:t>
      </w:r>
      <w:r w:rsidRPr="004B502E">
        <w:rPr>
          <w:rFonts w:ascii="Times New Roman" w:hAnsi="Times New Roman" w:cs="Times New Roman"/>
          <w:sz w:val="24"/>
          <w:szCs w:val="24"/>
        </w:rPr>
        <w:t xml:space="preserve"> </w:t>
      </w:r>
      <w:r w:rsidR="00383CF6" w:rsidRPr="004B502E">
        <w:rPr>
          <w:rFonts w:ascii="Times New Roman" w:hAnsi="Times New Roman" w:cs="Times New Roman"/>
          <w:sz w:val="24"/>
          <w:szCs w:val="24"/>
        </w:rPr>
        <w:t xml:space="preserve">a </w:t>
      </w:r>
      <w:r w:rsidRPr="004B502E">
        <w:rPr>
          <w:rFonts w:ascii="Times New Roman" w:hAnsi="Times New Roman" w:cs="Times New Roman"/>
          <w:sz w:val="24"/>
          <w:szCs w:val="24"/>
        </w:rPr>
        <w:t xml:space="preserve">bank’s size positively affects the profitability of </w:t>
      </w:r>
      <w:r w:rsidR="00852351">
        <w:rPr>
          <w:rFonts w:ascii="Times New Roman" w:hAnsi="Times New Roman" w:cs="Times New Roman"/>
          <w:sz w:val="24"/>
          <w:szCs w:val="24"/>
        </w:rPr>
        <w:t>Islamic banks</w:t>
      </w:r>
      <w:r w:rsidR="00521D89" w:rsidRPr="004B502E">
        <w:rPr>
          <w:rFonts w:ascii="Times New Roman" w:hAnsi="Times New Roman" w:cs="Times New Roman"/>
          <w:sz w:val="24"/>
          <w:szCs w:val="24"/>
        </w:rPr>
        <w:t xml:space="preserve">, which proves the </w:t>
      </w:r>
      <w:r w:rsidR="00F023C2" w:rsidRPr="004B502E">
        <w:rPr>
          <w:rFonts w:ascii="Times New Roman" w:hAnsi="Times New Roman" w:cs="Times New Roman"/>
          <w:sz w:val="24"/>
          <w:szCs w:val="24"/>
        </w:rPr>
        <w:t>economies</w:t>
      </w:r>
      <w:r w:rsidR="00F023C2">
        <w:rPr>
          <w:rFonts w:ascii="Times New Roman" w:hAnsi="Times New Roman" w:cs="Times New Roman"/>
          <w:sz w:val="24"/>
          <w:szCs w:val="24"/>
        </w:rPr>
        <w:t>-</w:t>
      </w:r>
      <w:r w:rsidR="00F023C2" w:rsidRPr="004B502E">
        <w:rPr>
          <w:rFonts w:ascii="Times New Roman" w:hAnsi="Times New Roman" w:cs="Times New Roman"/>
          <w:sz w:val="24"/>
          <w:szCs w:val="24"/>
        </w:rPr>
        <w:t>of</w:t>
      </w:r>
      <w:r w:rsidR="00F023C2">
        <w:rPr>
          <w:rFonts w:ascii="Times New Roman" w:hAnsi="Times New Roman" w:cs="Times New Roman"/>
          <w:sz w:val="24"/>
          <w:szCs w:val="24"/>
        </w:rPr>
        <w:t>-</w:t>
      </w:r>
      <w:r w:rsidR="00521D89" w:rsidRPr="004B502E">
        <w:rPr>
          <w:rFonts w:ascii="Times New Roman" w:hAnsi="Times New Roman" w:cs="Times New Roman"/>
          <w:sz w:val="24"/>
          <w:szCs w:val="24"/>
        </w:rPr>
        <w:t xml:space="preserve">scale concept </w:t>
      </w:r>
      <w:r w:rsidR="00F023C2">
        <w:rPr>
          <w:rFonts w:ascii="Times New Roman" w:hAnsi="Times New Roman" w:cs="Times New Roman"/>
          <w:sz w:val="24"/>
          <w:szCs w:val="24"/>
        </w:rPr>
        <w:t>with</w:t>
      </w:r>
      <w:r w:rsidR="00F023C2" w:rsidRPr="004B502E">
        <w:rPr>
          <w:rFonts w:ascii="Times New Roman" w:hAnsi="Times New Roman" w:cs="Times New Roman"/>
          <w:sz w:val="24"/>
          <w:szCs w:val="24"/>
        </w:rPr>
        <w:t xml:space="preserve"> </w:t>
      </w:r>
      <w:r w:rsidR="00521D89" w:rsidRPr="004B502E">
        <w:rPr>
          <w:rFonts w:ascii="Times New Roman" w:hAnsi="Times New Roman" w:cs="Times New Roman"/>
          <w:sz w:val="24"/>
          <w:szCs w:val="24"/>
        </w:rPr>
        <w:t xml:space="preserve">regard to </w:t>
      </w:r>
      <w:r w:rsidR="00852351">
        <w:rPr>
          <w:rFonts w:ascii="Times New Roman" w:hAnsi="Times New Roman" w:cs="Times New Roman"/>
          <w:sz w:val="24"/>
          <w:szCs w:val="24"/>
        </w:rPr>
        <w:t>Islamic banks</w:t>
      </w:r>
      <w:r w:rsidR="00521D89" w:rsidRPr="004B502E">
        <w:rPr>
          <w:rFonts w:ascii="Times New Roman" w:hAnsi="Times New Roman" w:cs="Times New Roman"/>
          <w:sz w:val="24"/>
          <w:szCs w:val="24"/>
        </w:rPr>
        <w:t>.</w:t>
      </w:r>
      <w:r w:rsidRPr="004B502E">
        <w:rPr>
          <w:rFonts w:ascii="Times New Roman" w:hAnsi="Times New Roman" w:cs="Times New Roman"/>
          <w:sz w:val="24"/>
          <w:szCs w:val="24"/>
        </w:rPr>
        <w:t xml:space="preserve"> </w:t>
      </w:r>
      <w:r w:rsidR="00646FAA" w:rsidRPr="004B502E">
        <w:rPr>
          <w:rFonts w:ascii="Times New Roman" w:hAnsi="Times New Roman" w:cs="Times New Roman"/>
          <w:sz w:val="24"/>
          <w:szCs w:val="24"/>
        </w:rPr>
        <w:t xml:space="preserve">Additionally, </w:t>
      </w:r>
      <w:r w:rsidR="00F023C2">
        <w:rPr>
          <w:rFonts w:ascii="Times New Roman" w:hAnsi="Times New Roman" w:cs="Times New Roman"/>
          <w:sz w:val="24"/>
          <w:szCs w:val="24"/>
        </w:rPr>
        <w:t xml:space="preserve">the </w:t>
      </w:r>
      <w:r w:rsidR="00646FAA" w:rsidRPr="004B502E">
        <w:rPr>
          <w:rFonts w:ascii="Times New Roman" w:hAnsi="Times New Roman" w:cs="Times New Roman"/>
          <w:sz w:val="24"/>
          <w:szCs w:val="24"/>
        </w:rPr>
        <w:t>author f</w:t>
      </w:r>
      <w:r w:rsidR="00383CF6" w:rsidRPr="004B502E">
        <w:rPr>
          <w:rFonts w:ascii="Times New Roman" w:hAnsi="Times New Roman" w:cs="Times New Roman"/>
          <w:sz w:val="24"/>
          <w:szCs w:val="24"/>
        </w:rPr>
        <w:t>ound</w:t>
      </w:r>
      <w:r w:rsidR="00646FAA" w:rsidRPr="004B502E">
        <w:rPr>
          <w:rFonts w:ascii="Times New Roman" w:hAnsi="Times New Roman" w:cs="Times New Roman"/>
          <w:sz w:val="24"/>
          <w:szCs w:val="24"/>
        </w:rPr>
        <w:t xml:space="preserve"> that </w:t>
      </w:r>
      <w:r w:rsidR="00383CF6" w:rsidRPr="004B502E">
        <w:rPr>
          <w:rFonts w:ascii="Times New Roman" w:hAnsi="Times New Roman" w:cs="Times New Roman"/>
          <w:sz w:val="24"/>
          <w:szCs w:val="24"/>
        </w:rPr>
        <w:t xml:space="preserve">the </w:t>
      </w:r>
      <w:r w:rsidRPr="004B502E">
        <w:rPr>
          <w:rFonts w:ascii="Times New Roman" w:hAnsi="Times New Roman" w:cs="Times New Roman"/>
          <w:sz w:val="24"/>
          <w:szCs w:val="24"/>
        </w:rPr>
        <w:t xml:space="preserve">ownership </w:t>
      </w:r>
      <w:r w:rsidR="00646FAA" w:rsidRPr="004B502E">
        <w:rPr>
          <w:rFonts w:ascii="Times New Roman" w:hAnsi="Times New Roman" w:cs="Times New Roman"/>
          <w:sz w:val="24"/>
          <w:szCs w:val="24"/>
        </w:rPr>
        <w:t xml:space="preserve">variable </w:t>
      </w:r>
      <w:r w:rsidRPr="004B502E">
        <w:rPr>
          <w:rFonts w:ascii="Times New Roman" w:hAnsi="Times New Roman" w:cs="Times New Roman"/>
          <w:sz w:val="24"/>
          <w:szCs w:val="24"/>
        </w:rPr>
        <w:t xml:space="preserve">does not have an </w:t>
      </w:r>
      <w:r w:rsidR="00156B0F" w:rsidRPr="004B502E">
        <w:rPr>
          <w:rFonts w:ascii="Times New Roman" w:hAnsi="Times New Roman" w:cs="Times New Roman"/>
          <w:sz w:val="24"/>
          <w:szCs w:val="24"/>
        </w:rPr>
        <w:t xml:space="preserve">effect on the performance of </w:t>
      </w:r>
      <w:r w:rsidR="00852351">
        <w:rPr>
          <w:rFonts w:ascii="Times New Roman" w:hAnsi="Times New Roman" w:cs="Times New Roman"/>
          <w:sz w:val="24"/>
          <w:szCs w:val="24"/>
        </w:rPr>
        <w:t>Islamic banks</w:t>
      </w:r>
      <w:r w:rsidR="00646FAA" w:rsidRPr="004B502E">
        <w:rPr>
          <w:rFonts w:ascii="Times New Roman" w:hAnsi="Times New Roman" w:cs="Times New Roman"/>
          <w:sz w:val="24"/>
          <w:szCs w:val="24"/>
        </w:rPr>
        <w:t xml:space="preserve">. </w:t>
      </w:r>
      <w:r w:rsidR="00156B0F" w:rsidRPr="004B502E">
        <w:rPr>
          <w:rFonts w:ascii="Times New Roman" w:hAnsi="Times New Roman" w:cs="Times New Roman"/>
          <w:sz w:val="24"/>
          <w:szCs w:val="24"/>
        </w:rPr>
        <w:t xml:space="preserve"> </w:t>
      </w:r>
      <w:r w:rsidRPr="004B502E">
        <w:rPr>
          <w:rFonts w:ascii="Times New Roman" w:hAnsi="Times New Roman" w:cs="Times New Roman"/>
          <w:sz w:val="24"/>
          <w:szCs w:val="24"/>
        </w:rPr>
        <w:t xml:space="preserve"> </w:t>
      </w:r>
    </w:p>
    <w:p w:rsidR="00146E65" w:rsidRPr="00FC4A2C" w:rsidRDefault="00383CF6" w:rsidP="0047701A">
      <w:pPr>
        <w:spacing w:line="480" w:lineRule="auto"/>
        <w:ind w:firstLine="720"/>
        <w:rPr>
          <w:rFonts w:ascii="Times New Roman" w:hAnsi="Times New Roman" w:cs="Times New Roman"/>
          <w:sz w:val="24"/>
          <w:szCs w:val="24"/>
        </w:rPr>
      </w:pPr>
      <w:r w:rsidRPr="004B502E">
        <w:rPr>
          <w:rFonts w:ascii="Times New Roman" w:hAnsi="Times New Roman" w:cs="Times New Roman"/>
          <w:sz w:val="24"/>
          <w:szCs w:val="24"/>
        </w:rPr>
        <w:t xml:space="preserve">Hidayat and Abduh (2012) conducted </w:t>
      </w:r>
      <w:r w:rsidR="00646FAA" w:rsidRPr="004B502E">
        <w:rPr>
          <w:rFonts w:ascii="Times New Roman" w:hAnsi="Times New Roman" w:cs="Times New Roman"/>
          <w:sz w:val="24"/>
          <w:szCs w:val="24"/>
        </w:rPr>
        <w:t xml:space="preserve">the first profitability study </w:t>
      </w:r>
      <w:r w:rsidR="00F023C2">
        <w:rPr>
          <w:rFonts w:ascii="Times New Roman" w:hAnsi="Times New Roman" w:cs="Times New Roman"/>
          <w:sz w:val="24"/>
          <w:szCs w:val="24"/>
        </w:rPr>
        <w:t xml:space="preserve">that </w:t>
      </w:r>
      <w:r w:rsidR="00F023C2" w:rsidRPr="004B502E">
        <w:rPr>
          <w:rFonts w:ascii="Times New Roman" w:hAnsi="Times New Roman" w:cs="Times New Roman"/>
          <w:sz w:val="24"/>
          <w:szCs w:val="24"/>
        </w:rPr>
        <w:t>analyzed</w:t>
      </w:r>
      <w:r w:rsidR="00F023C2">
        <w:rPr>
          <w:rFonts w:ascii="Times New Roman" w:hAnsi="Times New Roman" w:cs="Times New Roman"/>
          <w:sz w:val="24"/>
          <w:szCs w:val="24"/>
        </w:rPr>
        <w:t xml:space="preserve"> </w:t>
      </w:r>
      <w:r w:rsidR="00DC0077">
        <w:rPr>
          <w:rFonts w:ascii="Times New Roman" w:hAnsi="Times New Roman" w:cs="Times New Roman"/>
          <w:sz w:val="24"/>
          <w:szCs w:val="24"/>
        </w:rPr>
        <w:t xml:space="preserve">the </w:t>
      </w:r>
      <w:r w:rsidR="00C22FDF">
        <w:rPr>
          <w:rFonts w:ascii="Times New Roman" w:hAnsi="Times New Roman" w:cs="Times New Roman"/>
          <w:sz w:val="24"/>
          <w:szCs w:val="24"/>
        </w:rPr>
        <w:t>effect of the financial</w:t>
      </w:r>
      <w:r w:rsidR="00C22FDF" w:rsidRPr="004B502E">
        <w:rPr>
          <w:rFonts w:ascii="Times New Roman" w:hAnsi="Times New Roman" w:cs="Times New Roman"/>
          <w:sz w:val="24"/>
          <w:szCs w:val="24"/>
        </w:rPr>
        <w:t xml:space="preserve"> </w:t>
      </w:r>
      <w:r w:rsidR="00C22FDF">
        <w:rPr>
          <w:rFonts w:ascii="Times New Roman" w:hAnsi="Times New Roman" w:cs="Times New Roman"/>
          <w:sz w:val="24"/>
          <w:szCs w:val="24"/>
        </w:rPr>
        <w:t>crisis</w:t>
      </w:r>
      <w:r w:rsidR="00C22FDF" w:rsidRPr="004B502E">
        <w:rPr>
          <w:rFonts w:ascii="Times New Roman" w:hAnsi="Times New Roman" w:cs="Times New Roman"/>
          <w:sz w:val="24"/>
          <w:szCs w:val="24"/>
        </w:rPr>
        <w:t xml:space="preserve"> of 2008, along with internal and external ratios, on the performance of </w:t>
      </w:r>
      <w:r w:rsidR="00852351">
        <w:rPr>
          <w:rFonts w:ascii="Times New Roman" w:hAnsi="Times New Roman" w:cs="Times New Roman"/>
          <w:sz w:val="24"/>
          <w:szCs w:val="24"/>
        </w:rPr>
        <w:t>Islamic banks</w:t>
      </w:r>
      <w:r w:rsidR="00646FAA" w:rsidRPr="004B502E">
        <w:rPr>
          <w:rFonts w:ascii="Times New Roman" w:hAnsi="Times New Roman" w:cs="Times New Roman"/>
          <w:sz w:val="24"/>
          <w:szCs w:val="24"/>
        </w:rPr>
        <w:t>.</w:t>
      </w:r>
      <w:r w:rsidR="005D4E67" w:rsidRPr="004B502E">
        <w:rPr>
          <w:rFonts w:ascii="Times New Roman" w:hAnsi="Times New Roman" w:cs="Times New Roman"/>
          <w:sz w:val="24"/>
          <w:szCs w:val="24"/>
        </w:rPr>
        <w:t xml:space="preserve"> By adding the economic recession variabl</w:t>
      </w:r>
      <w:r w:rsidR="00631816" w:rsidRPr="004B502E">
        <w:rPr>
          <w:rFonts w:ascii="Times New Roman" w:hAnsi="Times New Roman" w:cs="Times New Roman"/>
          <w:sz w:val="24"/>
          <w:szCs w:val="24"/>
        </w:rPr>
        <w:t xml:space="preserve">e to the analysis, </w:t>
      </w:r>
      <w:r w:rsidRPr="004B502E">
        <w:rPr>
          <w:rFonts w:ascii="Times New Roman" w:hAnsi="Times New Roman" w:cs="Times New Roman"/>
          <w:sz w:val="24"/>
          <w:szCs w:val="24"/>
        </w:rPr>
        <w:t xml:space="preserve">the </w:t>
      </w:r>
      <w:r w:rsidR="00631816" w:rsidRPr="004B502E">
        <w:rPr>
          <w:rFonts w:ascii="Times New Roman" w:hAnsi="Times New Roman" w:cs="Times New Roman"/>
          <w:sz w:val="24"/>
          <w:szCs w:val="24"/>
        </w:rPr>
        <w:t>authors brought</w:t>
      </w:r>
      <w:r w:rsidR="005D4E67" w:rsidRPr="004B502E">
        <w:rPr>
          <w:rFonts w:ascii="Times New Roman" w:hAnsi="Times New Roman" w:cs="Times New Roman"/>
          <w:sz w:val="24"/>
          <w:szCs w:val="24"/>
        </w:rPr>
        <w:t xml:space="preserve"> the profitability studies conducted on </w:t>
      </w:r>
      <w:r w:rsidR="00852351">
        <w:rPr>
          <w:rFonts w:ascii="Times New Roman" w:hAnsi="Times New Roman" w:cs="Times New Roman"/>
          <w:sz w:val="24"/>
          <w:szCs w:val="24"/>
        </w:rPr>
        <w:t>Islamic banks</w:t>
      </w:r>
      <w:r w:rsidR="00631816" w:rsidRPr="004B502E">
        <w:rPr>
          <w:rFonts w:ascii="Times New Roman" w:hAnsi="Times New Roman" w:cs="Times New Roman"/>
          <w:sz w:val="24"/>
          <w:szCs w:val="24"/>
        </w:rPr>
        <w:t xml:space="preserve"> to </w:t>
      </w:r>
      <w:r w:rsidR="00F023C2">
        <w:rPr>
          <w:rFonts w:ascii="Times New Roman" w:hAnsi="Times New Roman" w:cs="Times New Roman"/>
          <w:sz w:val="24"/>
          <w:szCs w:val="24"/>
        </w:rPr>
        <w:t>a</w:t>
      </w:r>
      <w:r w:rsidR="00631816" w:rsidRPr="004B502E">
        <w:rPr>
          <w:rFonts w:ascii="Times New Roman" w:hAnsi="Times New Roman" w:cs="Times New Roman"/>
          <w:sz w:val="24"/>
          <w:szCs w:val="24"/>
        </w:rPr>
        <w:t xml:space="preserve"> new level. This was</w:t>
      </w:r>
      <w:r w:rsidR="005D4E67" w:rsidRPr="004B502E">
        <w:rPr>
          <w:rFonts w:ascii="Times New Roman" w:hAnsi="Times New Roman" w:cs="Times New Roman"/>
          <w:sz w:val="24"/>
          <w:szCs w:val="24"/>
        </w:rPr>
        <w:t xml:space="preserve"> a </w:t>
      </w:r>
      <w:r w:rsidR="00F023C2" w:rsidRPr="004B502E">
        <w:rPr>
          <w:rFonts w:ascii="Times New Roman" w:hAnsi="Times New Roman" w:cs="Times New Roman"/>
          <w:sz w:val="24"/>
          <w:szCs w:val="24"/>
        </w:rPr>
        <w:t>country</w:t>
      </w:r>
      <w:r w:rsidR="00F023C2">
        <w:rPr>
          <w:rFonts w:ascii="Times New Roman" w:hAnsi="Times New Roman" w:cs="Times New Roman"/>
          <w:sz w:val="24"/>
          <w:szCs w:val="24"/>
        </w:rPr>
        <w:t>-</w:t>
      </w:r>
      <w:r w:rsidR="005D4E67" w:rsidRPr="004B502E">
        <w:rPr>
          <w:rFonts w:ascii="Times New Roman" w:hAnsi="Times New Roman" w:cs="Times New Roman"/>
          <w:sz w:val="24"/>
          <w:szCs w:val="24"/>
        </w:rPr>
        <w:t>sp</w:t>
      </w:r>
      <w:r w:rsidR="00646FAA" w:rsidRPr="004B502E">
        <w:rPr>
          <w:rFonts w:ascii="Times New Roman" w:hAnsi="Times New Roman" w:cs="Times New Roman"/>
          <w:sz w:val="24"/>
          <w:szCs w:val="24"/>
        </w:rPr>
        <w:t xml:space="preserve">ecific analysis, and </w:t>
      </w:r>
      <w:r w:rsidRPr="004B502E">
        <w:rPr>
          <w:rFonts w:ascii="Times New Roman" w:hAnsi="Times New Roman" w:cs="Times New Roman"/>
          <w:sz w:val="24"/>
          <w:szCs w:val="24"/>
        </w:rPr>
        <w:t xml:space="preserve">the </w:t>
      </w:r>
      <w:r w:rsidR="00646FAA" w:rsidRPr="004B502E">
        <w:rPr>
          <w:rFonts w:ascii="Times New Roman" w:hAnsi="Times New Roman" w:cs="Times New Roman"/>
          <w:sz w:val="24"/>
          <w:szCs w:val="24"/>
        </w:rPr>
        <w:t>authors use</w:t>
      </w:r>
      <w:r w:rsidR="002554DA" w:rsidRPr="004B502E">
        <w:rPr>
          <w:rFonts w:ascii="Times New Roman" w:hAnsi="Times New Roman" w:cs="Times New Roman"/>
          <w:sz w:val="24"/>
          <w:szCs w:val="24"/>
        </w:rPr>
        <w:t>d</w:t>
      </w:r>
      <w:r w:rsidR="005D4E67" w:rsidRPr="004B502E">
        <w:rPr>
          <w:rFonts w:ascii="Times New Roman" w:hAnsi="Times New Roman" w:cs="Times New Roman"/>
          <w:sz w:val="24"/>
          <w:szCs w:val="24"/>
        </w:rPr>
        <w:t xml:space="preserve"> the Bahrain</w:t>
      </w:r>
      <w:r w:rsidR="002554DA" w:rsidRPr="004B502E">
        <w:rPr>
          <w:rFonts w:ascii="Times New Roman" w:hAnsi="Times New Roman" w:cs="Times New Roman"/>
          <w:sz w:val="24"/>
          <w:szCs w:val="24"/>
        </w:rPr>
        <w:t>i</w:t>
      </w:r>
      <w:r w:rsidR="005D4E67" w:rsidRPr="004B502E">
        <w:rPr>
          <w:rFonts w:ascii="Times New Roman" w:hAnsi="Times New Roman" w:cs="Times New Roman"/>
          <w:sz w:val="24"/>
          <w:szCs w:val="24"/>
        </w:rPr>
        <w:t xml:space="preserve"> banks for this analysis. </w:t>
      </w:r>
      <w:r w:rsidRPr="004B502E">
        <w:rPr>
          <w:rFonts w:ascii="Times New Roman" w:hAnsi="Times New Roman" w:cs="Times New Roman"/>
          <w:sz w:val="24"/>
          <w:szCs w:val="24"/>
        </w:rPr>
        <w:t>The a</w:t>
      </w:r>
      <w:r w:rsidR="005D4E67" w:rsidRPr="004B502E">
        <w:rPr>
          <w:rFonts w:ascii="Times New Roman" w:hAnsi="Times New Roman" w:cs="Times New Roman"/>
          <w:sz w:val="24"/>
          <w:szCs w:val="24"/>
        </w:rPr>
        <w:t>uthors analy</w:t>
      </w:r>
      <w:r w:rsidRPr="004B502E">
        <w:rPr>
          <w:rFonts w:ascii="Times New Roman" w:hAnsi="Times New Roman" w:cs="Times New Roman"/>
          <w:sz w:val="24"/>
          <w:szCs w:val="24"/>
        </w:rPr>
        <w:t>zed</w:t>
      </w:r>
      <w:r w:rsidR="005D4E67" w:rsidRPr="004B502E">
        <w:rPr>
          <w:rFonts w:ascii="Times New Roman" w:hAnsi="Times New Roman" w:cs="Times New Roman"/>
          <w:sz w:val="24"/>
          <w:szCs w:val="24"/>
        </w:rPr>
        <w:t xml:space="preserve"> </w:t>
      </w:r>
      <w:r w:rsidRPr="004B502E">
        <w:rPr>
          <w:rFonts w:ascii="Times New Roman" w:hAnsi="Times New Roman" w:cs="Times New Roman"/>
          <w:sz w:val="24"/>
          <w:szCs w:val="24"/>
        </w:rPr>
        <w:t xml:space="preserve">a </w:t>
      </w:r>
      <w:r w:rsidR="005D4E67" w:rsidRPr="004B502E">
        <w:rPr>
          <w:rFonts w:ascii="Times New Roman" w:hAnsi="Times New Roman" w:cs="Times New Roman"/>
          <w:sz w:val="24"/>
          <w:szCs w:val="24"/>
        </w:rPr>
        <w:t xml:space="preserve">sample of 14 conventional and </w:t>
      </w:r>
      <w:r w:rsidR="00F023C2">
        <w:rPr>
          <w:rFonts w:ascii="Times New Roman" w:hAnsi="Times New Roman" w:cs="Times New Roman"/>
          <w:sz w:val="24"/>
          <w:szCs w:val="24"/>
        </w:rPr>
        <w:t>eight</w:t>
      </w:r>
      <w:r w:rsidR="00F023C2" w:rsidRPr="004B502E">
        <w:rPr>
          <w:rFonts w:ascii="Times New Roman" w:hAnsi="Times New Roman" w:cs="Times New Roman"/>
          <w:sz w:val="24"/>
          <w:szCs w:val="24"/>
        </w:rPr>
        <w:t xml:space="preserve"> </w:t>
      </w:r>
      <w:r w:rsidR="00852351">
        <w:rPr>
          <w:rFonts w:ascii="Times New Roman" w:hAnsi="Times New Roman" w:cs="Times New Roman"/>
          <w:sz w:val="24"/>
          <w:szCs w:val="24"/>
        </w:rPr>
        <w:t>Islamic banks</w:t>
      </w:r>
      <w:r w:rsidR="005D4E67" w:rsidRPr="004B502E">
        <w:rPr>
          <w:rFonts w:ascii="Times New Roman" w:hAnsi="Times New Roman" w:cs="Times New Roman"/>
          <w:sz w:val="24"/>
          <w:szCs w:val="24"/>
        </w:rPr>
        <w:t xml:space="preserve"> for the time</w:t>
      </w:r>
      <w:r w:rsidR="00F023C2">
        <w:rPr>
          <w:rFonts w:ascii="Times New Roman" w:hAnsi="Times New Roman" w:cs="Times New Roman"/>
          <w:sz w:val="24"/>
          <w:szCs w:val="24"/>
        </w:rPr>
        <w:t xml:space="preserve"> </w:t>
      </w:r>
      <w:r w:rsidR="005D4E67" w:rsidRPr="004B502E">
        <w:rPr>
          <w:rFonts w:ascii="Times New Roman" w:hAnsi="Times New Roman" w:cs="Times New Roman"/>
          <w:sz w:val="24"/>
          <w:szCs w:val="24"/>
        </w:rPr>
        <w:t>frame 2005</w:t>
      </w:r>
      <w:r w:rsidR="00F023C2">
        <w:rPr>
          <w:rFonts w:ascii="Times New Roman" w:hAnsi="Times New Roman" w:cs="Times New Roman"/>
          <w:sz w:val="24"/>
          <w:szCs w:val="24"/>
        </w:rPr>
        <w:t>-</w:t>
      </w:r>
      <w:r w:rsidR="005D4E67" w:rsidRPr="004B502E">
        <w:rPr>
          <w:rFonts w:ascii="Times New Roman" w:hAnsi="Times New Roman" w:cs="Times New Roman"/>
          <w:sz w:val="24"/>
          <w:szCs w:val="24"/>
        </w:rPr>
        <w:t xml:space="preserve"> 2010. According to the results,</w:t>
      </w:r>
      <w:r w:rsidRPr="004B502E">
        <w:rPr>
          <w:rFonts w:ascii="Times New Roman" w:hAnsi="Times New Roman" w:cs="Times New Roman"/>
          <w:sz w:val="24"/>
          <w:szCs w:val="24"/>
        </w:rPr>
        <w:t xml:space="preserve"> the</w:t>
      </w:r>
      <w:r w:rsidR="005D4E67" w:rsidRPr="004B502E">
        <w:rPr>
          <w:rFonts w:ascii="Times New Roman" w:hAnsi="Times New Roman" w:cs="Times New Roman"/>
          <w:sz w:val="24"/>
          <w:szCs w:val="24"/>
        </w:rPr>
        <w:t xml:space="preserve"> authors </w:t>
      </w:r>
      <w:r w:rsidR="00484173" w:rsidRPr="004B502E">
        <w:rPr>
          <w:rFonts w:ascii="Times New Roman" w:hAnsi="Times New Roman" w:cs="Times New Roman"/>
          <w:sz w:val="24"/>
          <w:szCs w:val="24"/>
        </w:rPr>
        <w:t>reveal</w:t>
      </w:r>
      <w:r w:rsidR="002554DA" w:rsidRPr="004B502E">
        <w:rPr>
          <w:rFonts w:ascii="Times New Roman" w:hAnsi="Times New Roman" w:cs="Times New Roman"/>
          <w:sz w:val="24"/>
          <w:szCs w:val="24"/>
        </w:rPr>
        <w:t>ed</w:t>
      </w:r>
      <w:r w:rsidR="00484173" w:rsidRPr="004B502E">
        <w:rPr>
          <w:rFonts w:ascii="Times New Roman" w:hAnsi="Times New Roman" w:cs="Times New Roman"/>
          <w:sz w:val="24"/>
          <w:szCs w:val="24"/>
        </w:rPr>
        <w:t xml:space="preserve"> that </w:t>
      </w:r>
      <w:r w:rsidR="005D4E67" w:rsidRPr="004B502E">
        <w:rPr>
          <w:rFonts w:ascii="Times New Roman" w:hAnsi="Times New Roman" w:cs="Times New Roman"/>
          <w:sz w:val="24"/>
          <w:szCs w:val="24"/>
        </w:rPr>
        <w:t xml:space="preserve">during </w:t>
      </w:r>
      <w:r w:rsidR="00DC0077">
        <w:rPr>
          <w:rFonts w:ascii="Times New Roman" w:hAnsi="Times New Roman" w:cs="Times New Roman"/>
          <w:sz w:val="24"/>
          <w:szCs w:val="24"/>
        </w:rPr>
        <w:t>the financial</w:t>
      </w:r>
      <w:r w:rsidRPr="004B502E">
        <w:rPr>
          <w:rFonts w:ascii="Times New Roman" w:hAnsi="Times New Roman" w:cs="Times New Roman"/>
          <w:sz w:val="24"/>
          <w:szCs w:val="24"/>
        </w:rPr>
        <w:t xml:space="preserve"> </w:t>
      </w:r>
      <w:r w:rsidR="005D4E67" w:rsidRPr="004B502E">
        <w:rPr>
          <w:rFonts w:ascii="Times New Roman" w:hAnsi="Times New Roman" w:cs="Times New Roman"/>
          <w:sz w:val="24"/>
          <w:szCs w:val="24"/>
        </w:rPr>
        <w:t xml:space="preserve">crisis the performance of </w:t>
      </w:r>
      <w:r w:rsidR="00852351">
        <w:rPr>
          <w:rFonts w:ascii="Times New Roman" w:hAnsi="Times New Roman" w:cs="Times New Roman"/>
          <w:sz w:val="24"/>
          <w:szCs w:val="24"/>
        </w:rPr>
        <w:t>Islamic banks</w:t>
      </w:r>
      <w:r w:rsidR="005D4E67" w:rsidRPr="004B502E">
        <w:rPr>
          <w:rFonts w:ascii="Times New Roman" w:hAnsi="Times New Roman" w:cs="Times New Roman"/>
          <w:sz w:val="24"/>
          <w:szCs w:val="24"/>
        </w:rPr>
        <w:t xml:space="preserve"> </w:t>
      </w:r>
      <w:r w:rsidR="00F023C2">
        <w:rPr>
          <w:rFonts w:ascii="Times New Roman" w:hAnsi="Times New Roman" w:cs="Times New Roman"/>
          <w:sz w:val="24"/>
          <w:szCs w:val="24"/>
        </w:rPr>
        <w:t>in</w:t>
      </w:r>
      <w:r w:rsidR="00F023C2" w:rsidRPr="004B502E">
        <w:rPr>
          <w:rFonts w:ascii="Times New Roman" w:hAnsi="Times New Roman" w:cs="Times New Roman"/>
          <w:sz w:val="24"/>
          <w:szCs w:val="24"/>
        </w:rPr>
        <w:t xml:space="preserve"> </w:t>
      </w:r>
      <w:r w:rsidR="005D4E67" w:rsidRPr="004B502E">
        <w:rPr>
          <w:rFonts w:ascii="Times New Roman" w:hAnsi="Times New Roman" w:cs="Times New Roman"/>
          <w:sz w:val="24"/>
          <w:szCs w:val="24"/>
        </w:rPr>
        <w:t xml:space="preserve">Bahrain </w:t>
      </w:r>
      <w:r w:rsidRPr="004B502E">
        <w:rPr>
          <w:rFonts w:ascii="Times New Roman" w:hAnsi="Times New Roman" w:cs="Times New Roman"/>
          <w:sz w:val="24"/>
          <w:szCs w:val="24"/>
        </w:rPr>
        <w:t xml:space="preserve">was </w:t>
      </w:r>
      <w:r w:rsidR="005D4E67" w:rsidRPr="004B502E">
        <w:rPr>
          <w:rFonts w:ascii="Times New Roman" w:hAnsi="Times New Roman" w:cs="Times New Roman"/>
          <w:sz w:val="24"/>
          <w:szCs w:val="24"/>
        </w:rPr>
        <w:t>not affected, however after the crisis the</w:t>
      </w:r>
      <w:r w:rsidR="00646FAA" w:rsidRPr="004B502E">
        <w:rPr>
          <w:rFonts w:ascii="Times New Roman" w:hAnsi="Times New Roman" w:cs="Times New Roman"/>
          <w:sz w:val="24"/>
          <w:szCs w:val="24"/>
        </w:rPr>
        <w:t>ir</w:t>
      </w:r>
      <w:r w:rsidR="00D921F6" w:rsidRPr="004B502E">
        <w:rPr>
          <w:rFonts w:ascii="Times New Roman" w:hAnsi="Times New Roman" w:cs="Times New Roman"/>
          <w:sz w:val="24"/>
          <w:szCs w:val="24"/>
        </w:rPr>
        <w:t xml:space="preserve"> performance</w:t>
      </w:r>
      <w:r w:rsidR="005D4E67" w:rsidRPr="004B502E">
        <w:rPr>
          <w:rFonts w:ascii="Times New Roman" w:hAnsi="Times New Roman" w:cs="Times New Roman"/>
          <w:sz w:val="24"/>
          <w:szCs w:val="24"/>
        </w:rPr>
        <w:t xml:space="preserve"> </w:t>
      </w:r>
      <w:r w:rsidRPr="004B502E">
        <w:rPr>
          <w:rFonts w:ascii="Times New Roman" w:hAnsi="Times New Roman" w:cs="Times New Roman"/>
          <w:sz w:val="24"/>
          <w:szCs w:val="24"/>
        </w:rPr>
        <w:t xml:space="preserve">was </w:t>
      </w:r>
      <w:r w:rsidR="00D921F6" w:rsidRPr="004B502E">
        <w:rPr>
          <w:rFonts w:ascii="Times New Roman" w:hAnsi="Times New Roman" w:cs="Times New Roman"/>
          <w:sz w:val="24"/>
          <w:szCs w:val="24"/>
        </w:rPr>
        <w:t>negatively affected</w:t>
      </w:r>
      <w:r w:rsidR="005D4E67" w:rsidRPr="004B502E">
        <w:rPr>
          <w:rFonts w:ascii="Times New Roman" w:hAnsi="Times New Roman" w:cs="Times New Roman"/>
          <w:sz w:val="24"/>
          <w:szCs w:val="24"/>
        </w:rPr>
        <w:t>.</w:t>
      </w:r>
      <w:r w:rsidR="00484173" w:rsidRPr="004B502E">
        <w:rPr>
          <w:rFonts w:ascii="Times New Roman" w:hAnsi="Times New Roman" w:cs="Times New Roman"/>
          <w:sz w:val="24"/>
          <w:szCs w:val="24"/>
        </w:rPr>
        <w:t xml:space="preserve"> </w:t>
      </w:r>
    </w:p>
    <w:p w:rsidR="00146E65" w:rsidRPr="00146E65" w:rsidRDefault="00D921F6" w:rsidP="00146E65">
      <w:pPr>
        <w:pStyle w:val="Heading2"/>
        <w:spacing w:line="480" w:lineRule="auto"/>
        <w:rPr>
          <w:rFonts w:ascii="Times New Roman" w:hAnsi="Times New Roman" w:cs="Times New Roman"/>
          <w:b w:val="0"/>
          <w:color w:val="auto"/>
          <w:sz w:val="24"/>
          <w:szCs w:val="24"/>
          <w:shd w:val="clear" w:color="auto" w:fill="FFFFFF"/>
        </w:rPr>
      </w:pPr>
      <w:bookmarkStart w:id="12" w:name="_Toc346718432"/>
      <w:r w:rsidRPr="00146E65">
        <w:rPr>
          <w:rFonts w:ascii="Times New Roman" w:hAnsi="Times New Roman" w:cs="Times New Roman"/>
          <w:bCs w:val="0"/>
          <w:color w:val="auto"/>
          <w:sz w:val="24"/>
          <w:szCs w:val="24"/>
        </w:rPr>
        <w:t xml:space="preserve">2.3. </w:t>
      </w:r>
      <w:r w:rsidR="00221B84" w:rsidRPr="00146E65">
        <w:rPr>
          <w:rFonts w:ascii="Times New Roman" w:hAnsi="Times New Roman" w:cs="Times New Roman"/>
          <w:bCs w:val="0"/>
          <w:color w:val="auto"/>
          <w:sz w:val="24"/>
          <w:szCs w:val="24"/>
        </w:rPr>
        <w:t xml:space="preserve">Studies </w:t>
      </w:r>
      <w:r w:rsidR="00146E65" w:rsidRPr="00146E65">
        <w:rPr>
          <w:rFonts w:ascii="Times New Roman" w:hAnsi="Times New Roman" w:cs="Times New Roman"/>
          <w:bCs w:val="0"/>
          <w:color w:val="auto"/>
          <w:sz w:val="24"/>
          <w:szCs w:val="24"/>
        </w:rPr>
        <w:t>C</w:t>
      </w:r>
      <w:r w:rsidR="00646FAA" w:rsidRPr="00146E65">
        <w:rPr>
          <w:rFonts w:ascii="Times New Roman" w:hAnsi="Times New Roman" w:cs="Times New Roman"/>
          <w:bCs w:val="0"/>
          <w:color w:val="auto"/>
          <w:sz w:val="24"/>
          <w:szCs w:val="24"/>
        </w:rPr>
        <w:t>ondu</w:t>
      </w:r>
      <w:r w:rsidR="00221B84" w:rsidRPr="00146E65">
        <w:rPr>
          <w:rFonts w:ascii="Times New Roman" w:hAnsi="Times New Roman" w:cs="Times New Roman"/>
          <w:bCs w:val="0"/>
          <w:color w:val="auto"/>
          <w:sz w:val="24"/>
          <w:szCs w:val="24"/>
        </w:rPr>
        <w:t xml:space="preserve">cted on Malaysian Islamic </w:t>
      </w:r>
      <w:r w:rsidR="00146E65" w:rsidRPr="00146E65">
        <w:rPr>
          <w:rFonts w:ascii="Times New Roman" w:hAnsi="Times New Roman" w:cs="Times New Roman"/>
          <w:bCs w:val="0"/>
          <w:color w:val="auto"/>
          <w:sz w:val="24"/>
          <w:szCs w:val="24"/>
        </w:rPr>
        <w:t>B</w:t>
      </w:r>
      <w:r w:rsidR="001D4AB4" w:rsidRPr="00146E65">
        <w:rPr>
          <w:rFonts w:ascii="Times New Roman" w:hAnsi="Times New Roman" w:cs="Times New Roman"/>
          <w:bCs w:val="0"/>
          <w:color w:val="auto"/>
          <w:sz w:val="24"/>
          <w:szCs w:val="24"/>
        </w:rPr>
        <w:t>anks</w:t>
      </w:r>
      <w:bookmarkEnd w:id="12"/>
    </w:p>
    <w:p w:rsidR="00646FAA" w:rsidRPr="004B502E" w:rsidRDefault="00896084" w:rsidP="00221B84">
      <w:pPr>
        <w:spacing w:line="480" w:lineRule="auto"/>
        <w:ind w:firstLine="720"/>
        <w:rPr>
          <w:rFonts w:ascii="Times New Roman" w:hAnsi="Times New Roman" w:cs="Times New Roman"/>
          <w:sz w:val="24"/>
          <w:szCs w:val="24"/>
        </w:rPr>
      </w:pPr>
      <w:r w:rsidRPr="004B502E">
        <w:rPr>
          <w:rFonts w:ascii="Times New Roman" w:hAnsi="Times New Roman" w:cs="Times New Roman"/>
          <w:sz w:val="24"/>
          <w:szCs w:val="24"/>
        </w:rPr>
        <w:t>Although</w:t>
      </w:r>
      <w:r w:rsidR="00646FAA" w:rsidRPr="004B502E">
        <w:rPr>
          <w:rFonts w:ascii="Times New Roman" w:hAnsi="Times New Roman" w:cs="Times New Roman"/>
          <w:sz w:val="24"/>
          <w:szCs w:val="24"/>
        </w:rPr>
        <w:t xml:space="preserve"> in some of the </w:t>
      </w:r>
      <w:r w:rsidR="008A49D6" w:rsidRPr="004B502E">
        <w:rPr>
          <w:rFonts w:ascii="Times New Roman" w:hAnsi="Times New Roman" w:cs="Times New Roman"/>
          <w:sz w:val="24"/>
          <w:szCs w:val="24"/>
        </w:rPr>
        <w:t>profitabil</w:t>
      </w:r>
      <w:r w:rsidRPr="004B502E">
        <w:rPr>
          <w:rFonts w:ascii="Times New Roman" w:hAnsi="Times New Roman" w:cs="Times New Roman"/>
          <w:sz w:val="24"/>
          <w:szCs w:val="24"/>
        </w:rPr>
        <w:t xml:space="preserve">ity studies </w:t>
      </w:r>
      <w:r w:rsidR="008A49D6" w:rsidRPr="004B502E">
        <w:rPr>
          <w:rFonts w:ascii="Times New Roman" w:hAnsi="Times New Roman" w:cs="Times New Roman"/>
          <w:sz w:val="24"/>
          <w:szCs w:val="24"/>
        </w:rPr>
        <w:t xml:space="preserve">several </w:t>
      </w:r>
      <w:r w:rsidR="00646FAA" w:rsidRPr="004B502E">
        <w:rPr>
          <w:rFonts w:ascii="Times New Roman" w:hAnsi="Times New Roman" w:cs="Times New Roman"/>
          <w:sz w:val="24"/>
          <w:szCs w:val="24"/>
        </w:rPr>
        <w:t xml:space="preserve">Malaysian </w:t>
      </w:r>
      <w:r w:rsidR="00852351">
        <w:rPr>
          <w:rFonts w:ascii="Times New Roman" w:hAnsi="Times New Roman" w:cs="Times New Roman"/>
          <w:sz w:val="24"/>
          <w:szCs w:val="24"/>
        </w:rPr>
        <w:t>Islamic banks</w:t>
      </w:r>
      <w:r w:rsidR="00646FAA" w:rsidRPr="004B502E">
        <w:rPr>
          <w:rFonts w:ascii="Times New Roman" w:hAnsi="Times New Roman" w:cs="Times New Roman"/>
          <w:sz w:val="24"/>
          <w:szCs w:val="24"/>
        </w:rPr>
        <w:t xml:space="preserve"> were included in the </w:t>
      </w:r>
      <w:r w:rsidR="00F023C2" w:rsidRPr="004B502E">
        <w:rPr>
          <w:rFonts w:ascii="Times New Roman" w:hAnsi="Times New Roman" w:cs="Times New Roman"/>
          <w:sz w:val="24"/>
          <w:szCs w:val="24"/>
        </w:rPr>
        <w:t xml:space="preserve">sample </w:t>
      </w:r>
      <w:r w:rsidRPr="004B502E">
        <w:rPr>
          <w:rFonts w:ascii="Times New Roman" w:hAnsi="Times New Roman" w:cs="Times New Roman"/>
          <w:sz w:val="24"/>
          <w:szCs w:val="24"/>
        </w:rPr>
        <w:t>data</w:t>
      </w:r>
      <w:r w:rsidR="00646FAA" w:rsidRPr="004B502E">
        <w:rPr>
          <w:rFonts w:ascii="Times New Roman" w:hAnsi="Times New Roman" w:cs="Times New Roman"/>
          <w:sz w:val="24"/>
          <w:szCs w:val="24"/>
        </w:rPr>
        <w:t>, to the best of my knowledge,</w:t>
      </w:r>
      <w:r w:rsidR="002554DA" w:rsidRPr="004B502E">
        <w:rPr>
          <w:rFonts w:ascii="Times New Roman" w:hAnsi="Times New Roman" w:cs="Times New Roman"/>
          <w:sz w:val="24"/>
          <w:szCs w:val="24"/>
        </w:rPr>
        <w:t xml:space="preserve"> there are three</w:t>
      </w:r>
      <w:r w:rsidR="00646FAA" w:rsidRPr="004B502E">
        <w:rPr>
          <w:rFonts w:ascii="Times New Roman" w:hAnsi="Times New Roman" w:cs="Times New Roman"/>
          <w:sz w:val="24"/>
          <w:szCs w:val="24"/>
        </w:rPr>
        <w:t xml:space="preserve"> </w:t>
      </w:r>
      <w:r w:rsidR="002554DA" w:rsidRPr="004B502E">
        <w:rPr>
          <w:rFonts w:ascii="Times New Roman" w:hAnsi="Times New Roman" w:cs="Times New Roman"/>
          <w:sz w:val="24"/>
          <w:szCs w:val="24"/>
        </w:rPr>
        <w:t xml:space="preserve">country-specific </w:t>
      </w:r>
      <w:r w:rsidR="00646FAA" w:rsidRPr="004B502E">
        <w:rPr>
          <w:rFonts w:ascii="Times New Roman" w:hAnsi="Times New Roman" w:cs="Times New Roman"/>
          <w:sz w:val="24"/>
          <w:szCs w:val="24"/>
        </w:rPr>
        <w:t xml:space="preserve">profitability studies </w:t>
      </w:r>
      <w:r w:rsidR="002554DA" w:rsidRPr="004B502E">
        <w:rPr>
          <w:rFonts w:ascii="Times New Roman" w:hAnsi="Times New Roman" w:cs="Times New Roman"/>
          <w:sz w:val="24"/>
          <w:szCs w:val="24"/>
        </w:rPr>
        <w:t xml:space="preserve">conducted on </w:t>
      </w:r>
      <w:r w:rsidR="00646FAA" w:rsidRPr="004B502E">
        <w:rPr>
          <w:rFonts w:ascii="Times New Roman" w:hAnsi="Times New Roman" w:cs="Times New Roman"/>
          <w:sz w:val="24"/>
          <w:szCs w:val="24"/>
        </w:rPr>
        <w:t xml:space="preserve">Malaysian </w:t>
      </w:r>
      <w:r w:rsidR="00852351">
        <w:rPr>
          <w:rFonts w:ascii="Times New Roman" w:hAnsi="Times New Roman" w:cs="Times New Roman"/>
          <w:sz w:val="24"/>
          <w:szCs w:val="24"/>
        </w:rPr>
        <w:t>Islamic banks</w:t>
      </w:r>
      <w:r w:rsidR="00646FAA" w:rsidRPr="004B502E">
        <w:rPr>
          <w:rFonts w:ascii="Times New Roman" w:hAnsi="Times New Roman" w:cs="Times New Roman"/>
          <w:sz w:val="24"/>
          <w:szCs w:val="24"/>
        </w:rPr>
        <w:t xml:space="preserve">. </w:t>
      </w:r>
    </w:p>
    <w:p w:rsidR="000527F3" w:rsidRPr="004B502E" w:rsidRDefault="008A49D6" w:rsidP="003B3C8C">
      <w:pPr>
        <w:spacing w:line="480" w:lineRule="auto"/>
        <w:ind w:firstLine="720"/>
        <w:rPr>
          <w:rFonts w:ascii="Times New Roman" w:hAnsi="Times New Roman" w:cs="Times New Roman"/>
          <w:sz w:val="24"/>
          <w:szCs w:val="24"/>
        </w:rPr>
      </w:pPr>
      <w:r w:rsidRPr="004B502E">
        <w:rPr>
          <w:rFonts w:ascii="Times New Roman" w:hAnsi="Times New Roman" w:cs="Times New Roman"/>
          <w:sz w:val="24"/>
          <w:szCs w:val="24"/>
        </w:rPr>
        <w:t xml:space="preserve">The first known profitability analysis of Malaysian </w:t>
      </w:r>
      <w:r w:rsidR="00852351">
        <w:rPr>
          <w:rFonts w:ascii="Times New Roman" w:hAnsi="Times New Roman" w:cs="Times New Roman"/>
          <w:sz w:val="24"/>
          <w:szCs w:val="24"/>
        </w:rPr>
        <w:t>Islamic banks</w:t>
      </w:r>
      <w:r w:rsidRPr="004B502E">
        <w:rPr>
          <w:rFonts w:ascii="Times New Roman" w:hAnsi="Times New Roman" w:cs="Times New Roman"/>
          <w:sz w:val="24"/>
          <w:szCs w:val="24"/>
        </w:rPr>
        <w:t xml:space="preserve"> was performed</w:t>
      </w:r>
      <w:r w:rsidR="000527F3" w:rsidRPr="004B502E">
        <w:rPr>
          <w:rFonts w:ascii="Times New Roman" w:hAnsi="Times New Roman" w:cs="Times New Roman"/>
          <w:sz w:val="24"/>
          <w:szCs w:val="24"/>
        </w:rPr>
        <w:t xml:space="preserve"> by</w:t>
      </w:r>
      <w:r w:rsidR="00896084" w:rsidRPr="004B502E">
        <w:rPr>
          <w:rFonts w:ascii="Times New Roman" w:hAnsi="Times New Roman" w:cs="Times New Roman"/>
          <w:sz w:val="24"/>
          <w:szCs w:val="24"/>
        </w:rPr>
        <w:t xml:space="preserve"> Wasiuzzaman and Tarmizi (2010), where </w:t>
      </w:r>
      <w:r w:rsidR="004B6EB7" w:rsidRPr="004B502E">
        <w:rPr>
          <w:rFonts w:ascii="Times New Roman" w:hAnsi="Times New Roman" w:cs="Times New Roman"/>
          <w:sz w:val="24"/>
          <w:szCs w:val="24"/>
        </w:rPr>
        <w:t xml:space="preserve">the </w:t>
      </w:r>
      <w:r w:rsidR="00896084" w:rsidRPr="004B502E">
        <w:rPr>
          <w:rFonts w:ascii="Times New Roman" w:hAnsi="Times New Roman" w:cs="Times New Roman"/>
          <w:sz w:val="24"/>
          <w:szCs w:val="24"/>
        </w:rPr>
        <w:t xml:space="preserve">authors wanted to find the effect of </w:t>
      </w:r>
      <w:r w:rsidR="000527F3" w:rsidRPr="004B502E">
        <w:rPr>
          <w:rFonts w:ascii="Times New Roman" w:hAnsi="Times New Roman" w:cs="Times New Roman"/>
          <w:sz w:val="24"/>
          <w:szCs w:val="24"/>
        </w:rPr>
        <w:t xml:space="preserve">internal </w:t>
      </w:r>
      <w:r w:rsidR="00896084" w:rsidRPr="004B502E">
        <w:rPr>
          <w:rFonts w:ascii="Times New Roman" w:hAnsi="Times New Roman" w:cs="Times New Roman"/>
          <w:sz w:val="24"/>
          <w:szCs w:val="24"/>
        </w:rPr>
        <w:t xml:space="preserve">and </w:t>
      </w:r>
      <w:r w:rsidR="000527F3" w:rsidRPr="004B502E">
        <w:rPr>
          <w:rFonts w:ascii="Times New Roman" w:hAnsi="Times New Roman" w:cs="Times New Roman"/>
          <w:sz w:val="24"/>
          <w:szCs w:val="24"/>
        </w:rPr>
        <w:t xml:space="preserve">external ratios </w:t>
      </w:r>
      <w:r w:rsidR="00896084" w:rsidRPr="004B502E">
        <w:rPr>
          <w:rFonts w:ascii="Times New Roman" w:hAnsi="Times New Roman" w:cs="Times New Roman"/>
          <w:sz w:val="24"/>
          <w:szCs w:val="24"/>
        </w:rPr>
        <w:t>on the bank</w:t>
      </w:r>
      <w:r w:rsidR="00F023C2" w:rsidRPr="004B502E">
        <w:rPr>
          <w:rFonts w:ascii="Times New Roman" w:hAnsi="Times New Roman" w:cs="Times New Roman"/>
          <w:sz w:val="24"/>
          <w:szCs w:val="24"/>
        </w:rPr>
        <w:t>s</w:t>
      </w:r>
      <w:r w:rsidR="00896084" w:rsidRPr="004B502E">
        <w:rPr>
          <w:rFonts w:ascii="Times New Roman" w:hAnsi="Times New Roman" w:cs="Times New Roman"/>
          <w:sz w:val="24"/>
          <w:szCs w:val="24"/>
        </w:rPr>
        <w:t xml:space="preserve">’ performance. </w:t>
      </w:r>
      <w:r w:rsidR="000527F3" w:rsidRPr="004B502E">
        <w:rPr>
          <w:rFonts w:ascii="Times New Roman" w:hAnsi="Times New Roman" w:cs="Times New Roman"/>
          <w:sz w:val="24"/>
          <w:szCs w:val="24"/>
        </w:rPr>
        <w:t xml:space="preserve">The sample data used in the study were obtained </w:t>
      </w:r>
      <w:r w:rsidR="00860F05">
        <w:rPr>
          <w:rFonts w:ascii="Times New Roman" w:hAnsi="Times New Roman" w:cs="Times New Roman"/>
          <w:sz w:val="24"/>
          <w:szCs w:val="24"/>
        </w:rPr>
        <w:t xml:space="preserve">from four fully fledged </w:t>
      </w:r>
      <w:r w:rsidR="00852351">
        <w:rPr>
          <w:rFonts w:ascii="Times New Roman" w:hAnsi="Times New Roman" w:cs="Times New Roman"/>
          <w:sz w:val="24"/>
          <w:szCs w:val="24"/>
        </w:rPr>
        <w:t>Islamic banks</w:t>
      </w:r>
      <w:r w:rsidR="009342E4">
        <w:rPr>
          <w:rFonts w:ascii="Times New Roman" w:hAnsi="Times New Roman" w:cs="Times New Roman"/>
          <w:sz w:val="24"/>
          <w:szCs w:val="24"/>
        </w:rPr>
        <w:t xml:space="preserve"> and </w:t>
      </w:r>
      <w:r w:rsidR="00860F05">
        <w:rPr>
          <w:rFonts w:ascii="Times New Roman" w:hAnsi="Times New Roman" w:cs="Times New Roman"/>
          <w:sz w:val="24"/>
          <w:szCs w:val="24"/>
        </w:rPr>
        <w:t xml:space="preserve">12 Islamic </w:t>
      </w:r>
      <w:r w:rsidR="00F023C2">
        <w:rPr>
          <w:rFonts w:ascii="Times New Roman" w:hAnsi="Times New Roman" w:cs="Times New Roman"/>
          <w:sz w:val="24"/>
          <w:szCs w:val="24"/>
        </w:rPr>
        <w:t>“</w:t>
      </w:r>
      <w:r w:rsidR="000527F3" w:rsidRPr="004B502E">
        <w:rPr>
          <w:rFonts w:ascii="Times New Roman" w:hAnsi="Times New Roman" w:cs="Times New Roman"/>
          <w:sz w:val="24"/>
          <w:szCs w:val="24"/>
        </w:rPr>
        <w:t>windows</w:t>
      </w:r>
      <w:r w:rsidR="00F023C2">
        <w:rPr>
          <w:rFonts w:ascii="Times New Roman" w:hAnsi="Times New Roman" w:cs="Times New Roman"/>
          <w:sz w:val="24"/>
          <w:szCs w:val="24"/>
        </w:rPr>
        <w:t>”</w:t>
      </w:r>
      <w:r w:rsidR="000527F3" w:rsidRPr="004B502E">
        <w:rPr>
          <w:rFonts w:ascii="Times New Roman" w:hAnsi="Times New Roman" w:cs="Times New Roman"/>
          <w:sz w:val="24"/>
          <w:szCs w:val="24"/>
        </w:rPr>
        <w:t xml:space="preserve"> </w:t>
      </w:r>
      <w:r w:rsidR="00896084" w:rsidRPr="004B502E">
        <w:rPr>
          <w:rFonts w:ascii="Times New Roman" w:hAnsi="Times New Roman" w:cs="Times New Roman"/>
          <w:sz w:val="24"/>
          <w:szCs w:val="24"/>
        </w:rPr>
        <w:t xml:space="preserve">for the period from 2005 to </w:t>
      </w:r>
      <w:r w:rsidR="000527F3" w:rsidRPr="004B502E">
        <w:rPr>
          <w:rFonts w:ascii="Times New Roman" w:hAnsi="Times New Roman" w:cs="Times New Roman"/>
          <w:sz w:val="24"/>
          <w:szCs w:val="24"/>
        </w:rPr>
        <w:t>2008</w:t>
      </w:r>
      <w:r w:rsidR="00860F05">
        <w:rPr>
          <w:rFonts w:ascii="Times New Roman" w:hAnsi="Times New Roman" w:cs="Times New Roman"/>
          <w:sz w:val="24"/>
          <w:szCs w:val="24"/>
        </w:rPr>
        <w:t xml:space="preserve"> (S.Wasiuzzaman, personal communication, December 12, 2012)</w:t>
      </w:r>
      <w:r w:rsidR="000527F3" w:rsidRPr="004B502E">
        <w:rPr>
          <w:rFonts w:ascii="Times New Roman" w:hAnsi="Times New Roman" w:cs="Times New Roman"/>
          <w:sz w:val="24"/>
          <w:szCs w:val="24"/>
        </w:rPr>
        <w:t>. In the study</w:t>
      </w:r>
      <w:r w:rsidR="004B6EB7" w:rsidRPr="004B502E">
        <w:rPr>
          <w:rFonts w:ascii="Times New Roman" w:hAnsi="Times New Roman" w:cs="Times New Roman"/>
          <w:sz w:val="24"/>
          <w:szCs w:val="24"/>
        </w:rPr>
        <w:t xml:space="preserve"> the</w:t>
      </w:r>
      <w:r w:rsidR="000527F3" w:rsidRPr="004B502E">
        <w:rPr>
          <w:rFonts w:ascii="Times New Roman" w:hAnsi="Times New Roman" w:cs="Times New Roman"/>
          <w:sz w:val="24"/>
          <w:szCs w:val="24"/>
        </w:rPr>
        <w:t xml:space="preserve"> authors reveal</w:t>
      </w:r>
      <w:r w:rsidR="004B6EB7" w:rsidRPr="004B502E">
        <w:rPr>
          <w:rFonts w:ascii="Times New Roman" w:hAnsi="Times New Roman" w:cs="Times New Roman"/>
          <w:sz w:val="24"/>
          <w:szCs w:val="24"/>
        </w:rPr>
        <w:t>ed</w:t>
      </w:r>
      <w:r w:rsidR="000527F3" w:rsidRPr="004B502E">
        <w:rPr>
          <w:rFonts w:ascii="Times New Roman" w:hAnsi="Times New Roman" w:cs="Times New Roman"/>
          <w:sz w:val="24"/>
          <w:szCs w:val="24"/>
        </w:rPr>
        <w:t xml:space="preserve"> that capital and asset quality </w:t>
      </w:r>
      <w:r w:rsidR="00F93BBE">
        <w:rPr>
          <w:rFonts w:ascii="Times New Roman" w:hAnsi="Times New Roman" w:cs="Times New Roman"/>
          <w:sz w:val="24"/>
          <w:szCs w:val="24"/>
        </w:rPr>
        <w:t>ratios had</w:t>
      </w:r>
      <w:r w:rsidR="004B6EB7" w:rsidRPr="004B502E">
        <w:rPr>
          <w:rFonts w:ascii="Times New Roman" w:hAnsi="Times New Roman" w:cs="Times New Roman"/>
          <w:sz w:val="24"/>
          <w:szCs w:val="24"/>
        </w:rPr>
        <w:t xml:space="preserve"> </w:t>
      </w:r>
      <w:r w:rsidR="000527F3" w:rsidRPr="004B502E">
        <w:rPr>
          <w:rFonts w:ascii="Times New Roman" w:hAnsi="Times New Roman" w:cs="Times New Roman"/>
          <w:sz w:val="24"/>
          <w:szCs w:val="24"/>
        </w:rPr>
        <w:t xml:space="preserve">a negative effect on bank profitability, while liquidity and operational efficiency </w:t>
      </w:r>
      <w:r w:rsidR="00F93BBE">
        <w:rPr>
          <w:rFonts w:ascii="Times New Roman" w:hAnsi="Times New Roman" w:cs="Times New Roman"/>
          <w:sz w:val="24"/>
          <w:szCs w:val="24"/>
        </w:rPr>
        <w:t xml:space="preserve">ratios </w:t>
      </w:r>
      <w:r w:rsidR="000527F3" w:rsidRPr="004B502E">
        <w:rPr>
          <w:rFonts w:ascii="Times New Roman" w:hAnsi="Times New Roman" w:cs="Times New Roman"/>
          <w:sz w:val="24"/>
          <w:szCs w:val="24"/>
        </w:rPr>
        <w:t>ha</w:t>
      </w:r>
      <w:r w:rsidR="00F93BBE">
        <w:rPr>
          <w:rFonts w:ascii="Times New Roman" w:hAnsi="Times New Roman" w:cs="Times New Roman"/>
          <w:sz w:val="24"/>
          <w:szCs w:val="24"/>
        </w:rPr>
        <w:t>d</w:t>
      </w:r>
      <w:r w:rsidR="000527F3" w:rsidRPr="004B502E">
        <w:rPr>
          <w:rFonts w:ascii="Times New Roman" w:hAnsi="Times New Roman" w:cs="Times New Roman"/>
          <w:sz w:val="24"/>
          <w:szCs w:val="24"/>
        </w:rPr>
        <w:t xml:space="preserve"> a positive impact. </w:t>
      </w:r>
      <w:r w:rsidR="00F023C2" w:rsidRPr="004B502E">
        <w:rPr>
          <w:rFonts w:ascii="Times New Roman" w:hAnsi="Times New Roman" w:cs="Times New Roman"/>
          <w:sz w:val="24"/>
          <w:szCs w:val="24"/>
        </w:rPr>
        <w:t>Th</w:t>
      </w:r>
      <w:r w:rsidR="00F023C2">
        <w:rPr>
          <w:rFonts w:ascii="Times New Roman" w:hAnsi="Times New Roman" w:cs="Times New Roman"/>
          <w:sz w:val="24"/>
          <w:szCs w:val="24"/>
        </w:rPr>
        <w:t>e</w:t>
      </w:r>
      <w:r w:rsidR="00F023C2" w:rsidRPr="004B502E">
        <w:rPr>
          <w:rFonts w:ascii="Times New Roman" w:hAnsi="Times New Roman" w:cs="Times New Roman"/>
          <w:sz w:val="24"/>
          <w:szCs w:val="24"/>
        </w:rPr>
        <w:t xml:space="preserve">se </w:t>
      </w:r>
      <w:r w:rsidR="000527F3" w:rsidRPr="004B502E">
        <w:rPr>
          <w:rFonts w:ascii="Times New Roman" w:hAnsi="Times New Roman" w:cs="Times New Roman"/>
          <w:sz w:val="24"/>
          <w:szCs w:val="24"/>
        </w:rPr>
        <w:t xml:space="preserve">results </w:t>
      </w:r>
      <w:r w:rsidR="00391EEF" w:rsidRPr="004B502E">
        <w:rPr>
          <w:rFonts w:ascii="Times New Roman" w:hAnsi="Times New Roman" w:cs="Times New Roman"/>
          <w:sz w:val="24"/>
          <w:szCs w:val="24"/>
        </w:rPr>
        <w:t xml:space="preserve">contradict previous findings, and </w:t>
      </w:r>
      <w:r w:rsidR="000527F3" w:rsidRPr="004B502E">
        <w:rPr>
          <w:rFonts w:ascii="Times New Roman" w:hAnsi="Times New Roman" w:cs="Times New Roman"/>
          <w:sz w:val="24"/>
          <w:szCs w:val="24"/>
        </w:rPr>
        <w:t xml:space="preserve">could not be generalized to the </w:t>
      </w:r>
      <w:r w:rsidR="00852351">
        <w:rPr>
          <w:rFonts w:ascii="Times New Roman" w:hAnsi="Times New Roman" w:cs="Times New Roman"/>
          <w:sz w:val="24"/>
          <w:szCs w:val="24"/>
        </w:rPr>
        <w:t>Islamic banks</w:t>
      </w:r>
      <w:r w:rsidR="000527F3" w:rsidRPr="004B502E">
        <w:rPr>
          <w:rFonts w:ascii="Times New Roman" w:hAnsi="Times New Roman" w:cs="Times New Roman"/>
          <w:sz w:val="24"/>
          <w:szCs w:val="24"/>
        </w:rPr>
        <w:t xml:space="preserve"> of</w:t>
      </w:r>
      <w:r w:rsidR="00391EEF" w:rsidRPr="004B502E">
        <w:rPr>
          <w:rFonts w:ascii="Times New Roman" w:hAnsi="Times New Roman" w:cs="Times New Roman"/>
          <w:sz w:val="24"/>
          <w:szCs w:val="24"/>
        </w:rPr>
        <w:t xml:space="preserve"> Malaysia because the data</w:t>
      </w:r>
      <w:r w:rsidR="000527F3" w:rsidRPr="004B502E">
        <w:rPr>
          <w:rFonts w:ascii="Times New Roman" w:hAnsi="Times New Roman" w:cs="Times New Roman"/>
          <w:sz w:val="24"/>
          <w:szCs w:val="24"/>
        </w:rPr>
        <w:t xml:space="preserve"> </w:t>
      </w:r>
      <w:r w:rsidR="00F023C2">
        <w:rPr>
          <w:rFonts w:ascii="Times New Roman" w:hAnsi="Times New Roman" w:cs="Times New Roman"/>
          <w:sz w:val="24"/>
          <w:szCs w:val="24"/>
        </w:rPr>
        <w:t>us</w:t>
      </w:r>
      <w:r w:rsidR="00F023C2" w:rsidRPr="004B502E">
        <w:rPr>
          <w:rFonts w:ascii="Times New Roman" w:hAnsi="Times New Roman" w:cs="Times New Roman"/>
          <w:sz w:val="24"/>
          <w:szCs w:val="24"/>
        </w:rPr>
        <w:t xml:space="preserve">ed </w:t>
      </w:r>
      <w:r w:rsidR="00896084" w:rsidRPr="004B502E">
        <w:rPr>
          <w:rFonts w:ascii="Times New Roman" w:hAnsi="Times New Roman" w:cs="Times New Roman"/>
          <w:sz w:val="24"/>
          <w:szCs w:val="24"/>
        </w:rPr>
        <w:t xml:space="preserve">in the study covers </w:t>
      </w:r>
      <w:r w:rsidR="000527F3" w:rsidRPr="004B502E">
        <w:rPr>
          <w:rFonts w:ascii="Times New Roman" w:hAnsi="Times New Roman" w:cs="Times New Roman"/>
          <w:sz w:val="24"/>
          <w:szCs w:val="24"/>
        </w:rPr>
        <w:t xml:space="preserve">Islamic windows. </w:t>
      </w:r>
      <w:r w:rsidR="004B6EB7" w:rsidRPr="004B502E">
        <w:rPr>
          <w:rFonts w:ascii="Times New Roman" w:hAnsi="Times New Roman" w:cs="Times New Roman"/>
          <w:sz w:val="24"/>
          <w:szCs w:val="24"/>
        </w:rPr>
        <w:t xml:space="preserve">An </w:t>
      </w:r>
      <w:r w:rsidR="000527F3" w:rsidRPr="004B502E">
        <w:rPr>
          <w:rFonts w:ascii="Times New Roman" w:hAnsi="Times New Roman" w:cs="Times New Roman"/>
          <w:sz w:val="24"/>
          <w:szCs w:val="24"/>
        </w:rPr>
        <w:t>Islamic window is a branch of a bank</w:t>
      </w:r>
      <w:r w:rsidR="00F023C2">
        <w:rPr>
          <w:rFonts w:ascii="Times New Roman" w:hAnsi="Times New Roman" w:cs="Times New Roman"/>
          <w:sz w:val="24"/>
          <w:szCs w:val="24"/>
        </w:rPr>
        <w:t>,</w:t>
      </w:r>
      <w:r w:rsidR="000527F3" w:rsidRPr="004B502E">
        <w:rPr>
          <w:rFonts w:ascii="Times New Roman" w:hAnsi="Times New Roman" w:cs="Times New Roman"/>
          <w:sz w:val="24"/>
          <w:szCs w:val="24"/>
        </w:rPr>
        <w:t xml:space="preserve"> or a division within </w:t>
      </w:r>
      <w:r w:rsidR="00F023C2">
        <w:rPr>
          <w:rFonts w:ascii="Times New Roman" w:hAnsi="Times New Roman" w:cs="Times New Roman"/>
          <w:sz w:val="24"/>
          <w:szCs w:val="24"/>
        </w:rPr>
        <w:t xml:space="preserve">a </w:t>
      </w:r>
      <w:r w:rsidR="000527F3" w:rsidRPr="004B502E">
        <w:rPr>
          <w:rFonts w:ascii="Times New Roman" w:hAnsi="Times New Roman" w:cs="Times New Roman"/>
          <w:sz w:val="24"/>
          <w:szCs w:val="24"/>
        </w:rPr>
        <w:t xml:space="preserve">bank, that offers Islamic banking services and products to customers. Conventional banks usually have </w:t>
      </w:r>
      <w:r w:rsidR="0043370B" w:rsidRPr="004B502E">
        <w:rPr>
          <w:rFonts w:ascii="Times New Roman" w:hAnsi="Times New Roman" w:cs="Times New Roman"/>
          <w:sz w:val="24"/>
          <w:szCs w:val="24"/>
        </w:rPr>
        <w:t xml:space="preserve">such </w:t>
      </w:r>
      <w:r w:rsidR="004B6EB7" w:rsidRPr="004B502E">
        <w:rPr>
          <w:rFonts w:ascii="Times New Roman" w:hAnsi="Times New Roman" w:cs="Times New Roman"/>
          <w:sz w:val="24"/>
          <w:szCs w:val="24"/>
        </w:rPr>
        <w:t>divisions</w:t>
      </w:r>
      <w:r w:rsidR="00F93BBE">
        <w:rPr>
          <w:rFonts w:ascii="Times New Roman" w:hAnsi="Times New Roman" w:cs="Times New Roman"/>
          <w:sz w:val="24"/>
          <w:szCs w:val="24"/>
        </w:rPr>
        <w:t xml:space="preserve"> and</w:t>
      </w:r>
      <w:r w:rsidR="004B6EB7" w:rsidRPr="004B502E">
        <w:rPr>
          <w:rFonts w:ascii="Times New Roman" w:hAnsi="Times New Roman" w:cs="Times New Roman"/>
          <w:sz w:val="24"/>
          <w:szCs w:val="24"/>
        </w:rPr>
        <w:t xml:space="preserve"> </w:t>
      </w:r>
      <w:r w:rsidR="000527F3" w:rsidRPr="004B502E">
        <w:rPr>
          <w:rFonts w:ascii="Times New Roman" w:hAnsi="Times New Roman" w:cs="Times New Roman"/>
          <w:sz w:val="24"/>
          <w:szCs w:val="24"/>
        </w:rPr>
        <w:t xml:space="preserve">they support operations of </w:t>
      </w:r>
      <w:r w:rsidR="00391EEF" w:rsidRPr="004B502E">
        <w:rPr>
          <w:rFonts w:ascii="Times New Roman" w:hAnsi="Times New Roman" w:cs="Times New Roman"/>
          <w:sz w:val="24"/>
          <w:szCs w:val="24"/>
        </w:rPr>
        <w:t>those divisions</w:t>
      </w:r>
      <w:r w:rsidR="000527F3" w:rsidRPr="004B502E">
        <w:rPr>
          <w:rFonts w:ascii="Times New Roman" w:hAnsi="Times New Roman" w:cs="Times New Roman"/>
          <w:sz w:val="24"/>
          <w:szCs w:val="24"/>
        </w:rPr>
        <w:t>. Regardless o</w:t>
      </w:r>
      <w:r w:rsidR="000D3A6B" w:rsidRPr="004B502E">
        <w:rPr>
          <w:rFonts w:ascii="Times New Roman" w:hAnsi="Times New Roman" w:cs="Times New Roman"/>
          <w:sz w:val="24"/>
          <w:szCs w:val="24"/>
        </w:rPr>
        <w:t xml:space="preserve">f their services and operations, </w:t>
      </w:r>
      <w:r w:rsidR="000527F3" w:rsidRPr="004B502E">
        <w:rPr>
          <w:rFonts w:ascii="Times New Roman" w:hAnsi="Times New Roman" w:cs="Times New Roman"/>
          <w:sz w:val="24"/>
          <w:szCs w:val="24"/>
        </w:rPr>
        <w:t xml:space="preserve">Islamic windows could not be regarded as fully compliant </w:t>
      </w:r>
      <w:r w:rsidR="00852351">
        <w:rPr>
          <w:rFonts w:ascii="Times New Roman" w:hAnsi="Times New Roman" w:cs="Times New Roman"/>
          <w:sz w:val="24"/>
          <w:szCs w:val="24"/>
        </w:rPr>
        <w:t>Islamic banks</w:t>
      </w:r>
      <w:r w:rsidR="000527F3" w:rsidRPr="004B502E">
        <w:rPr>
          <w:rFonts w:ascii="Times New Roman" w:hAnsi="Times New Roman" w:cs="Times New Roman"/>
          <w:sz w:val="24"/>
          <w:szCs w:val="24"/>
        </w:rPr>
        <w:t>.</w:t>
      </w:r>
    </w:p>
    <w:p w:rsidR="007D2666" w:rsidRPr="004B502E" w:rsidRDefault="007D2666" w:rsidP="007D2666">
      <w:pPr>
        <w:spacing w:line="480" w:lineRule="auto"/>
        <w:ind w:firstLine="720"/>
        <w:rPr>
          <w:rFonts w:ascii="Times New Roman" w:hAnsi="Times New Roman" w:cs="Times New Roman"/>
          <w:sz w:val="24"/>
          <w:szCs w:val="24"/>
        </w:rPr>
      </w:pPr>
      <w:r w:rsidRPr="004B502E">
        <w:rPr>
          <w:rFonts w:ascii="Times New Roman" w:hAnsi="Times New Roman" w:cs="Times New Roman"/>
          <w:sz w:val="24"/>
          <w:szCs w:val="24"/>
        </w:rPr>
        <w:t xml:space="preserve">Another study on the profitability of Malaysian Islamic </w:t>
      </w:r>
      <w:r w:rsidR="00F023C2">
        <w:rPr>
          <w:rFonts w:ascii="Times New Roman" w:hAnsi="Times New Roman" w:cs="Times New Roman"/>
          <w:sz w:val="24"/>
          <w:szCs w:val="24"/>
        </w:rPr>
        <w:t>b</w:t>
      </w:r>
      <w:r w:rsidR="00F023C2" w:rsidRPr="004B502E">
        <w:rPr>
          <w:rFonts w:ascii="Times New Roman" w:hAnsi="Times New Roman" w:cs="Times New Roman"/>
          <w:sz w:val="24"/>
          <w:szCs w:val="24"/>
        </w:rPr>
        <w:t xml:space="preserve">anks </w:t>
      </w:r>
      <w:r w:rsidR="004B6EB7" w:rsidRPr="004B502E">
        <w:rPr>
          <w:rFonts w:ascii="Times New Roman" w:hAnsi="Times New Roman" w:cs="Times New Roman"/>
          <w:sz w:val="24"/>
          <w:szCs w:val="24"/>
        </w:rPr>
        <w:t>was</w:t>
      </w:r>
      <w:r w:rsidR="00D921F6" w:rsidRPr="004B502E">
        <w:rPr>
          <w:rFonts w:ascii="Times New Roman" w:hAnsi="Times New Roman" w:cs="Times New Roman"/>
          <w:sz w:val="24"/>
          <w:szCs w:val="24"/>
        </w:rPr>
        <w:t xml:space="preserve"> conducted by Idris</w:t>
      </w:r>
      <w:r w:rsidRPr="004B502E">
        <w:rPr>
          <w:rFonts w:ascii="Times New Roman" w:hAnsi="Times New Roman" w:cs="Times New Roman"/>
          <w:sz w:val="24"/>
          <w:szCs w:val="24"/>
        </w:rPr>
        <w:t xml:space="preserve"> et al. (2011</w:t>
      </w:r>
      <w:r w:rsidR="00F023C2" w:rsidRPr="004B502E">
        <w:rPr>
          <w:rFonts w:ascii="Times New Roman" w:hAnsi="Times New Roman" w:cs="Times New Roman"/>
          <w:sz w:val="24"/>
          <w:szCs w:val="24"/>
        </w:rPr>
        <w:t>)</w:t>
      </w:r>
      <w:r w:rsidR="00F023C2">
        <w:rPr>
          <w:rFonts w:ascii="Times New Roman" w:hAnsi="Times New Roman" w:cs="Times New Roman"/>
          <w:sz w:val="24"/>
          <w:szCs w:val="24"/>
        </w:rPr>
        <w:t>,</w:t>
      </w:r>
      <w:r w:rsidR="00F023C2" w:rsidRPr="004B502E">
        <w:rPr>
          <w:rFonts w:ascii="Times New Roman" w:hAnsi="Times New Roman" w:cs="Times New Roman"/>
          <w:sz w:val="24"/>
          <w:szCs w:val="24"/>
        </w:rPr>
        <w:t xml:space="preserve"> </w:t>
      </w:r>
      <w:r w:rsidR="00F023C2">
        <w:rPr>
          <w:rFonts w:ascii="Times New Roman" w:hAnsi="Times New Roman" w:cs="Times New Roman"/>
          <w:sz w:val="24"/>
          <w:szCs w:val="24"/>
        </w:rPr>
        <w:t>who</w:t>
      </w:r>
      <w:r w:rsidR="00774EF4" w:rsidRPr="004B502E">
        <w:rPr>
          <w:rFonts w:ascii="Times New Roman" w:hAnsi="Times New Roman" w:cs="Times New Roman"/>
          <w:sz w:val="24"/>
          <w:szCs w:val="24"/>
        </w:rPr>
        <w:t xml:space="preserve"> </w:t>
      </w:r>
      <w:r w:rsidRPr="004B502E">
        <w:rPr>
          <w:rFonts w:ascii="Times New Roman" w:hAnsi="Times New Roman" w:cs="Times New Roman"/>
          <w:sz w:val="24"/>
          <w:szCs w:val="24"/>
        </w:rPr>
        <w:t>mainly focus</w:t>
      </w:r>
      <w:r w:rsidR="00F023C2">
        <w:rPr>
          <w:rFonts w:ascii="Times New Roman" w:hAnsi="Times New Roman" w:cs="Times New Roman"/>
          <w:sz w:val="24"/>
          <w:szCs w:val="24"/>
        </w:rPr>
        <w:t>ed</w:t>
      </w:r>
      <w:r w:rsidRPr="004B502E">
        <w:rPr>
          <w:rFonts w:ascii="Times New Roman" w:hAnsi="Times New Roman" w:cs="Times New Roman"/>
          <w:sz w:val="24"/>
          <w:szCs w:val="24"/>
        </w:rPr>
        <w:t xml:space="preserve"> on the effect of the internal ratios on the performance of Malaysian </w:t>
      </w:r>
      <w:r w:rsidR="000D3A6B" w:rsidRPr="004B502E">
        <w:rPr>
          <w:rFonts w:ascii="Times New Roman" w:hAnsi="Times New Roman" w:cs="Times New Roman"/>
          <w:sz w:val="24"/>
          <w:szCs w:val="24"/>
        </w:rPr>
        <w:t xml:space="preserve">Islamic </w:t>
      </w:r>
      <w:r w:rsidR="00F023C2">
        <w:rPr>
          <w:rFonts w:ascii="Times New Roman" w:hAnsi="Times New Roman" w:cs="Times New Roman"/>
          <w:sz w:val="24"/>
          <w:szCs w:val="24"/>
        </w:rPr>
        <w:t>b</w:t>
      </w:r>
      <w:r w:rsidR="000D3A6B" w:rsidRPr="004B502E">
        <w:rPr>
          <w:rFonts w:ascii="Times New Roman" w:hAnsi="Times New Roman" w:cs="Times New Roman"/>
          <w:sz w:val="24"/>
          <w:szCs w:val="24"/>
        </w:rPr>
        <w:t xml:space="preserve">anks. </w:t>
      </w:r>
      <w:r w:rsidR="00774EF4" w:rsidRPr="004B502E">
        <w:rPr>
          <w:rFonts w:ascii="Times New Roman" w:hAnsi="Times New Roman" w:cs="Times New Roman"/>
          <w:sz w:val="24"/>
          <w:szCs w:val="24"/>
        </w:rPr>
        <w:t>T</w:t>
      </w:r>
      <w:r w:rsidR="000D3A6B" w:rsidRPr="004B502E">
        <w:rPr>
          <w:rFonts w:ascii="Times New Roman" w:hAnsi="Times New Roman" w:cs="Times New Roman"/>
          <w:sz w:val="24"/>
          <w:szCs w:val="24"/>
        </w:rPr>
        <w:t xml:space="preserve">he </w:t>
      </w:r>
      <w:r w:rsidRPr="004B502E">
        <w:rPr>
          <w:rFonts w:ascii="Times New Roman" w:hAnsi="Times New Roman" w:cs="Times New Roman"/>
          <w:sz w:val="24"/>
          <w:szCs w:val="24"/>
        </w:rPr>
        <w:t>data</w:t>
      </w:r>
      <w:r w:rsidR="00F023C2">
        <w:rPr>
          <w:rFonts w:ascii="Times New Roman" w:hAnsi="Times New Roman" w:cs="Times New Roman"/>
          <w:sz w:val="24"/>
          <w:szCs w:val="24"/>
        </w:rPr>
        <w:t xml:space="preserve"> </w:t>
      </w:r>
      <w:r w:rsidR="000D3A6B" w:rsidRPr="004B502E">
        <w:rPr>
          <w:rFonts w:ascii="Times New Roman" w:hAnsi="Times New Roman" w:cs="Times New Roman"/>
          <w:sz w:val="24"/>
          <w:szCs w:val="24"/>
        </w:rPr>
        <w:t>set</w:t>
      </w:r>
      <w:r w:rsidR="00774EF4" w:rsidRPr="004B502E">
        <w:rPr>
          <w:rFonts w:ascii="Times New Roman" w:hAnsi="Times New Roman" w:cs="Times New Roman"/>
          <w:sz w:val="24"/>
          <w:szCs w:val="24"/>
        </w:rPr>
        <w:t xml:space="preserve"> analyzed in this study</w:t>
      </w:r>
      <w:r w:rsidRPr="004B502E">
        <w:rPr>
          <w:rFonts w:ascii="Times New Roman" w:hAnsi="Times New Roman" w:cs="Times New Roman"/>
          <w:sz w:val="24"/>
          <w:szCs w:val="24"/>
        </w:rPr>
        <w:t xml:space="preserve"> </w:t>
      </w:r>
      <w:r w:rsidR="00DC6961" w:rsidRPr="004B502E">
        <w:rPr>
          <w:rFonts w:ascii="Times New Roman" w:hAnsi="Times New Roman" w:cs="Times New Roman"/>
          <w:sz w:val="24"/>
          <w:szCs w:val="24"/>
        </w:rPr>
        <w:t xml:space="preserve">was </w:t>
      </w:r>
      <w:r w:rsidRPr="004B502E">
        <w:rPr>
          <w:rFonts w:ascii="Times New Roman" w:hAnsi="Times New Roman" w:cs="Times New Roman"/>
          <w:sz w:val="24"/>
          <w:szCs w:val="24"/>
        </w:rPr>
        <w:t xml:space="preserve">collected from nine </w:t>
      </w:r>
      <w:r w:rsidR="00852351">
        <w:rPr>
          <w:rFonts w:ascii="Times New Roman" w:hAnsi="Times New Roman" w:cs="Times New Roman"/>
          <w:sz w:val="24"/>
          <w:szCs w:val="24"/>
        </w:rPr>
        <w:t>Islamic banks</w:t>
      </w:r>
      <w:r w:rsidRPr="004B502E">
        <w:rPr>
          <w:rFonts w:ascii="Times New Roman" w:hAnsi="Times New Roman" w:cs="Times New Roman"/>
          <w:sz w:val="24"/>
          <w:szCs w:val="24"/>
        </w:rPr>
        <w:t xml:space="preserve"> for the period 2007-2009. </w:t>
      </w:r>
      <w:r w:rsidR="00DC6961" w:rsidRPr="004B502E">
        <w:rPr>
          <w:rFonts w:ascii="Times New Roman" w:hAnsi="Times New Roman" w:cs="Times New Roman"/>
          <w:sz w:val="24"/>
          <w:szCs w:val="24"/>
        </w:rPr>
        <w:t>The a</w:t>
      </w:r>
      <w:r w:rsidRPr="004B502E">
        <w:rPr>
          <w:rFonts w:ascii="Times New Roman" w:hAnsi="Times New Roman" w:cs="Times New Roman"/>
          <w:sz w:val="24"/>
          <w:szCs w:val="24"/>
        </w:rPr>
        <w:t>uthors divide</w:t>
      </w:r>
      <w:r w:rsidR="0043370B" w:rsidRPr="004B502E">
        <w:rPr>
          <w:rFonts w:ascii="Times New Roman" w:hAnsi="Times New Roman" w:cs="Times New Roman"/>
          <w:sz w:val="24"/>
          <w:szCs w:val="24"/>
        </w:rPr>
        <w:t>d</w:t>
      </w:r>
      <w:r w:rsidRPr="004B502E">
        <w:rPr>
          <w:rFonts w:ascii="Times New Roman" w:hAnsi="Times New Roman" w:cs="Times New Roman"/>
          <w:sz w:val="24"/>
          <w:szCs w:val="24"/>
        </w:rPr>
        <w:t xml:space="preserve"> the internal ratios or internal factors into five categories</w:t>
      </w:r>
      <w:r w:rsidR="0043370B" w:rsidRPr="004B502E">
        <w:rPr>
          <w:rFonts w:ascii="Times New Roman" w:hAnsi="Times New Roman" w:cs="Times New Roman"/>
          <w:sz w:val="24"/>
          <w:szCs w:val="24"/>
        </w:rPr>
        <w:t>,</w:t>
      </w:r>
      <w:r w:rsidRPr="004B502E">
        <w:rPr>
          <w:rFonts w:ascii="Times New Roman" w:hAnsi="Times New Roman" w:cs="Times New Roman"/>
          <w:sz w:val="24"/>
          <w:szCs w:val="24"/>
        </w:rPr>
        <w:t xml:space="preserve"> namely: capital adequacy</w:t>
      </w:r>
      <w:r w:rsidR="00F40DB5">
        <w:rPr>
          <w:rFonts w:ascii="Times New Roman" w:hAnsi="Times New Roman" w:cs="Times New Roman"/>
          <w:sz w:val="24"/>
          <w:szCs w:val="24"/>
        </w:rPr>
        <w:t xml:space="preserve"> ratio</w:t>
      </w:r>
      <w:r w:rsidRPr="004B502E">
        <w:rPr>
          <w:rFonts w:ascii="Times New Roman" w:hAnsi="Times New Roman" w:cs="Times New Roman"/>
          <w:sz w:val="24"/>
          <w:szCs w:val="24"/>
        </w:rPr>
        <w:t>, credit risk</w:t>
      </w:r>
      <w:r w:rsidR="00F40DB5">
        <w:rPr>
          <w:rFonts w:ascii="Times New Roman" w:hAnsi="Times New Roman" w:cs="Times New Roman"/>
          <w:sz w:val="24"/>
          <w:szCs w:val="24"/>
        </w:rPr>
        <w:t xml:space="preserve"> ratio</w:t>
      </w:r>
      <w:r w:rsidRPr="004B502E">
        <w:rPr>
          <w:rFonts w:ascii="Times New Roman" w:hAnsi="Times New Roman" w:cs="Times New Roman"/>
          <w:sz w:val="24"/>
          <w:szCs w:val="24"/>
        </w:rPr>
        <w:t>, liquidity</w:t>
      </w:r>
      <w:r w:rsidR="00F40DB5">
        <w:rPr>
          <w:rFonts w:ascii="Times New Roman" w:hAnsi="Times New Roman" w:cs="Times New Roman"/>
          <w:sz w:val="24"/>
          <w:szCs w:val="24"/>
        </w:rPr>
        <w:t xml:space="preserve"> ratio</w:t>
      </w:r>
      <w:r w:rsidRPr="004B502E">
        <w:rPr>
          <w:rFonts w:ascii="Times New Roman" w:hAnsi="Times New Roman" w:cs="Times New Roman"/>
          <w:sz w:val="24"/>
          <w:szCs w:val="24"/>
        </w:rPr>
        <w:t>, bank size</w:t>
      </w:r>
      <w:r w:rsidR="00F023C2">
        <w:rPr>
          <w:rFonts w:ascii="Times New Roman" w:hAnsi="Times New Roman" w:cs="Times New Roman"/>
          <w:sz w:val="24"/>
          <w:szCs w:val="24"/>
        </w:rPr>
        <w:t>,</w:t>
      </w:r>
      <w:r w:rsidRPr="004B502E">
        <w:rPr>
          <w:rFonts w:ascii="Times New Roman" w:hAnsi="Times New Roman" w:cs="Times New Roman"/>
          <w:sz w:val="24"/>
          <w:szCs w:val="24"/>
        </w:rPr>
        <w:t xml:space="preserve"> and management e</w:t>
      </w:r>
      <w:r w:rsidR="0043370B" w:rsidRPr="004B502E">
        <w:rPr>
          <w:rFonts w:ascii="Times New Roman" w:hAnsi="Times New Roman" w:cs="Times New Roman"/>
          <w:sz w:val="24"/>
          <w:szCs w:val="24"/>
        </w:rPr>
        <w:t>xpenses</w:t>
      </w:r>
      <w:r w:rsidR="00F40DB5">
        <w:rPr>
          <w:rFonts w:ascii="Times New Roman" w:hAnsi="Times New Roman" w:cs="Times New Roman"/>
          <w:sz w:val="24"/>
          <w:szCs w:val="24"/>
        </w:rPr>
        <w:t xml:space="preserve"> ratio</w:t>
      </w:r>
      <w:r w:rsidR="0043370B" w:rsidRPr="004B502E">
        <w:rPr>
          <w:rFonts w:ascii="Times New Roman" w:hAnsi="Times New Roman" w:cs="Times New Roman"/>
          <w:sz w:val="24"/>
          <w:szCs w:val="24"/>
        </w:rPr>
        <w:t xml:space="preserve">. As a result, </w:t>
      </w:r>
      <w:r w:rsidR="00DC6961" w:rsidRPr="004B502E">
        <w:rPr>
          <w:rFonts w:ascii="Times New Roman" w:hAnsi="Times New Roman" w:cs="Times New Roman"/>
          <w:sz w:val="24"/>
          <w:szCs w:val="24"/>
        </w:rPr>
        <w:t xml:space="preserve">the </w:t>
      </w:r>
      <w:r w:rsidR="0043370B" w:rsidRPr="004B502E">
        <w:rPr>
          <w:rFonts w:ascii="Times New Roman" w:hAnsi="Times New Roman" w:cs="Times New Roman"/>
          <w:sz w:val="24"/>
          <w:szCs w:val="24"/>
        </w:rPr>
        <w:t>authors fou</w:t>
      </w:r>
      <w:r w:rsidRPr="004B502E">
        <w:rPr>
          <w:rFonts w:ascii="Times New Roman" w:hAnsi="Times New Roman" w:cs="Times New Roman"/>
          <w:sz w:val="24"/>
          <w:szCs w:val="24"/>
        </w:rPr>
        <w:t xml:space="preserve">nd that </w:t>
      </w:r>
      <w:r w:rsidR="00F023C2">
        <w:rPr>
          <w:rFonts w:ascii="Times New Roman" w:hAnsi="Times New Roman" w:cs="Times New Roman"/>
          <w:sz w:val="24"/>
          <w:szCs w:val="24"/>
        </w:rPr>
        <w:t xml:space="preserve">a </w:t>
      </w:r>
      <w:r w:rsidRPr="004B502E">
        <w:rPr>
          <w:rFonts w:ascii="Times New Roman" w:hAnsi="Times New Roman" w:cs="Times New Roman"/>
          <w:sz w:val="24"/>
          <w:szCs w:val="24"/>
        </w:rPr>
        <w:t>bank</w:t>
      </w:r>
      <w:r w:rsidR="003B69F0">
        <w:rPr>
          <w:rFonts w:ascii="Times New Roman" w:hAnsi="Times New Roman" w:cs="Times New Roman"/>
          <w:sz w:val="24"/>
          <w:szCs w:val="24"/>
        </w:rPr>
        <w:t>’s</w:t>
      </w:r>
      <w:r w:rsidRPr="004B502E">
        <w:rPr>
          <w:rFonts w:ascii="Times New Roman" w:hAnsi="Times New Roman" w:cs="Times New Roman"/>
          <w:sz w:val="24"/>
          <w:szCs w:val="24"/>
        </w:rPr>
        <w:t xml:space="preserve"> size</w:t>
      </w:r>
      <w:r w:rsidR="000D3A6B" w:rsidRPr="004B502E">
        <w:rPr>
          <w:rFonts w:ascii="Times New Roman" w:hAnsi="Times New Roman" w:cs="Times New Roman"/>
          <w:sz w:val="24"/>
          <w:szCs w:val="24"/>
        </w:rPr>
        <w:t xml:space="preserve"> </w:t>
      </w:r>
      <w:r w:rsidR="0043370B" w:rsidRPr="004B502E">
        <w:rPr>
          <w:rFonts w:ascii="Times New Roman" w:hAnsi="Times New Roman" w:cs="Times New Roman"/>
          <w:sz w:val="24"/>
          <w:szCs w:val="24"/>
        </w:rPr>
        <w:t>had</w:t>
      </w:r>
      <w:r w:rsidRPr="004B502E">
        <w:rPr>
          <w:rFonts w:ascii="Times New Roman" w:hAnsi="Times New Roman" w:cs="Times New Roman"/>
          <w:sz w:val="24"/>
          <w:szCs w:val="24"/>
        </w:rPr>
        <w:t xml:space="preserve"> a positive and statistically significant effect on the performance of the selected banks. The limitation of this study is associated with the data</w:t>
      </w:r>
      <w:r w:rsidR="00DC6961" w:rsidRPr="004B502E">
        <w:rPr>
          <w:rFonts w:ascii="Times New Roman" w:hAnsi="Times New Roman" w:cs="Times New Roman"/>
          <w:sz w:val="24"/>
          <w:szCs w:val="24"/>
        </w:rPr>
        <w:t xml:space="preserve"> analyzed</w:t>
      </w:r>
      <w:r w:rsidR="003B3C8C" w:rsidRPr="004B502E">
        <w:rPr>
          <w:rFonts w:ascii="Times New Roman" w:hAnsi="Times New Roman" w:cs="Times New Roman"/>
          <w:sz w:val="24"/>
          <w:szCs w:val="24"/>
        </w:rPr>
        <w:t>:</w:t>
      </w:r>
      <w:r w:rsidRPr="004B502E">
        <w:rPr>
          <w:rFonts w:ascii="Times New Roman" w:hAnsi="Times New Roman" w:cs="Times New Roman"/>
          <w:sz w:val="24"/>
          <w:szCs w:val="24"/>
        </w:rPr>
        <w:t xml:space="preserve"> </w:t>
      </w:r>
      <w:r w:rsidR="00F40DB5">
        <w:rPr>
          <w:rFonts w:ascii="Times New Roman" w:hAnsi="Times New Roman" w:cs="Times New Roman"/>
          <w:sz w:val="24"/>
          <w:szCs w:val="24"/>
        </w:rPr>
        <w:t>I</w:t>
      </w:r>
      <w:r w:rsidRPr="004B502E">
        <w:rPr>
          <w:rFonts w:ascii="Times New Roman" w:hAnsi="Times New Roman" w:cs="Times New Roman"/>
          <w:sz w:val="24"/>
          <w:szCs w:val="24"/>
        </w:rPr>
        <w:t>t covers only</w:t>
      </w:r>
      <w:r w:rsidR="00DC6961" w:rsidRPr="004B502E">
        <w:rPr>
          <w:rFonts w:ascii="Times New Roman" w:hAnsi="Times New Roman" w:cs="Times New Roman"/>
          <w:sz w:val="24"/>
          <w:szCs w:val="24"/>
        </w:rPr>
        <w:t xml:space="preserve"> a</w:t>
      </w:r>
      <w:r w:rsidRPr="004B502E">
        <w:rPr>
          <w:rFonts w:ascii="Times New Roman" w:hAnsi="Times New Roman" w:cs="Times New Roman"/>
          <w:sz w:val="24"/>
          <w:szCs w:val="24"/>
        </w:rPr>
        <w:t xml:space="preserve"> limited period </w:t>
      </w:r>
      <w:r w:rsidR="0043370B" w:rsidRPr="004B502E">
        <w:rPr>
          <w:rFonts w:ascii="Times New Roman" w:hAnsi="Times New Roman" w:cs="Times New Roman"/>
          <w:sz w:val="24"/>
          <w:szCs w:val="24"/>
        </w:rPr>
        <w:t>when</w:t>
      </w:r>
      <w:r w:rsidR="00DC0077">
        <w:rPr>
          <w:rFonts w:ascii="Times New Roman" w:hAnsi="Times New Roman" w:cs="Times New Roman"/>
          <w:sz w:val="24"/>
          <w:szCs w:val="24"/>
        </w:rPr>
        <w:t xml:space="preserve"> </w:t>
      </w:r>
      <w:r w:rsidR="00A6013C">
        <w:rPr>
          <w:rFonts w:ascii="Times New Roman" w:hAnsi="Times New Roman" w:cs="Times New Roman"/>
          <w:sz w:val="24"/>
          <w:szCs w:val="24"/>
        </w:rPr>
        <w:t xml:space="preserve">the 2008 </w:t>
      </w:r>
      <w:r w:rsidR="00DC0077">
        <w:rPr>
          <w:rFonts w:ascii="Times New Roman" w:hAnsi="Times New Roman" w:cs="Times New Roman"/>
          <w:sz w:val="24"/>
          <w:szCs w:val="24"/>
        </w:rPr>
        <w:t>financial</w:t>
      </w:r>
      <w:r w:rsidR="003B3C8C" w:rsidRPr="004B502E">
        <w:rPr>
          <w:rFonts w:ascii="Times New Roman" w:hAnsi="Times New Roman" w:cs="Times New Roman"/>
          <w:sz w:val="24"/>
          <w:szCs w:val="24"/>
        </w:rPr>
        <w:t xml:space="preserve"> crisis</w:t>
      </w:r>
      <w:r w:rsidR="0043370B" w:rsidRPr="004B502E">
        <w:rPr>
          <w:rFonts w:ascii="Times New Roman" w:hAnsi="Times New Roman" w:cs="Times New Roman"/>
          <w:sz w:val="24"/>
          <w:szCs w:val="24"/>
        </w:rPr>
        <w:t xml:space="preserve"> </w:t>
      </w:r>
      <w:r w:rsidR="003B3C8C" w:rsidRPr="004B502E">
        <w:rPr>
          <w:rFonts w:ascii="Times New Roman" w:hAnsi="Times New Roman" w:cs="Times New Roman"/>
          <w:sz w:val="24"/>
          <w:szCs w:val="24"/>
        </w:rPr>
        <w:t>was</w:t>
      </w:r>
      <w:r w:rsidRPr="004B502E">
        <w:rPr>
          <w:rFonts w:ascii="Times New Roman" w:hAnsi="Times New Roman" w:cs="Times New Roman"/>
          <w:sz w:val="24"/>
          <w:szCs w:val="24"/>
        </w:rPr>
        <w:t xml:space="preserve"> </w:t>
      </w:r>
      <w:r w:rsidR="009C076C">
        <w:rPr>
          <w:rFonts w:ascii="Times New Roman" w:hAnsi="Times New Roman" w:cs="Times New Roman"/>
          <w:sz w:val="24"/>
          <w:szCs w:val="24"/>
        </w:rPr>
        <w:t>at its worst</w:t>
      </w:r>
      <w:r w:rsidR="0043370B" w:rsidRPr="004B502E">
        <w:rPr>
          <w:rFonts w:ascii="Times New Roman" w:hAnsi="Times New Roman" w:cs="Times New Roman"/>
          <w:sz w:val="24"/>
          <w:szCs w:val="24"/>
        </w:rPr>
        <w:t xml:space="preserve">. </w:t>
      </w:r>
      <w:r w:rsidR="00F023C2">
        <w:rPr>
          <w:rFonts w:ascii="Times New Roman" w:hAnsi="Times New Roman" w:cs="Times New Roman"/>
          <w:sz w:val="24"/>
          <w:szCs w:val="24"/>
        </w:rPr>
        <w:t>T</w:t>
      </w:r>
      <w:r w:rsidR="00DC6961" w:rsidRPr="004B502E">
        <w:rPr>
          <w:rFonts w:ascii="Times New Roman" w:hAnsi="Times New Roman" w:cs="Times New Roman"/>
          <w:sz w:val="24"/>
          <w:szCs w:val="24"/>
        </w:rPr>
        <w:t xml:space="preserve">he </w:t>
      </w:r>
      <w:r w:rsidR="00117C84">
        <w:rPr>
          <w:rFonts w:ascii="Times New Roman" w:hAnsi="Times New Roman" w:cs="Times New Roman"/>
          <w:sz w:val="24"/>
          <w:szCs w:val="24"/>
        </w:rPr>
        <w:t>authors did</w:t>
      </w:r>
      <w:r w:rsidR="0043370B" w:rsidRPr="004B502E">
        <w:rPr>
          <w:rFonts w:ascii="Times New Roman" w:hAnsi="Times New Roman" w:cs="Times New Roman"/>
          <w:sz w:val="24"/>
          <w:szCs w:val="24"/>
        </w:rPr>
        <w:t xml:space="preserve"> not address the</w:t>
      </w:r>
      <w:r w:rsidR="00DC0077">
        <w:rPr>
          <w:rFonts w:ascii="Times New Roman" w:hAnsi="Times New Roman" w:cs="Times New Roman"/>
          <w:sz w:val="24"/>
          <w:szCs w:val="24"/>
        </w:rPr>
        <w:t xml:space="preserve"> possible effect of the financial</w:t>
      </w:r>
      <w:r w:rsidR="0043370B" w:rsidRPr="004B502E">
        <w:rPr>
          <w:rFonts w:ascii="Times New Roman" w:hAnsi="Times New Roman" w:cs="Times New Roman"/>
          <w:sz w:val="24"/>
          <w:szCs w:val="24"/>
        </w:rPr>
        <w:t xml:space="preserve"> crisis on the </w:t>
      </w:r>
      <w:r w:rsidR="00852351">
        <w:rPr>
          <w:rFonts w:ascii="Times New Roman" w:hAnsi="Times New Roman" w:cs="Times New Roman"/>
          <w:sz w:val="24"/>
          <w:szCs w:val="24"/>
        </w:rPr>
        <w:t>Islamic banks</w:t>
      </w:r>
      <w:r w:rsidR="0043370B" w:rsidRPr="004B502E">
        <w:rPr>
          <w:rFonts w:ascii="Times New Roman" w:hAnsi="Times New Roman" w:cs="Times New Roman"/>
          <w:sz w:val="24"/>
          <w:szCs w:val="24"/>
        </w:rPr>
        <w:t>’ performance.</w:t>
      </w:r>
      <w:r w:rsidRPr="004B502E">
        <w:rPr>
          <w:rFonts w:ascii="Times New Roman" w:hAnsi="Times New Roman" w:cs="Times New Roman"/>
          <w:sz w:val="24"/>
          <w:szCs w:val="24"/>
        </w:rPr>
        <w:t xml:space="preserve">  </w:t>
      </w:r>
    </w:p>
    <w:p w:rsidR="007D2666" w:rsidRPr="004B502E" w:rsidRDefault="007D2666" w:rsidP="000D3A6B">
      <w:pPr>
        <w:spacing w:line="480" w:lineRule="auto"/>
        <w:ind w:firstLine="720"/>
        <w:rPr>
          <w:rFonts w:ascii="Times New Roman" w:hAnsi="Times New Roman" w:cs="Times New Roman"/>
          <w:sz w:val="24"/>
          <w:szCs w:val="24"/>
        </w:rPr>
      </w:pPr>
      <w:r w:rsidRPr="004B502E">
        <w:rPr>
          <w:rFonts w:ascii="Times New Roman" w:hAnsi="Times New Roman" w:cs="Times New Roman"/>
          <w:sz w:val="24"/>
          <w:szCs w:val="24"/>
        </w:rPr>
        <w:t xml:space="preserve">In another dissertation work on Islamic banking profitability conducted </w:t>
      </w:r>
      <w:r w:rsidR="00EF66CD" w:rsidRPr="004B502E">
        <w:rPr>
          <w:rFonts w:ascii="Times New Roman" w:hAnsi="Times New Roman" w:cs="Times New Roman"/>
          <w:sz w:val="24"/>
          <w:szCs w:val="24"/>
        </w:rPr>
        <w:t xml:space="preserve">by </w:t>
      </w:r>
      <w:r w:rsidR="0077123F">
        <w:rPr>
          <w:rFonts w:ascii="Times New Roman" w:hAnsi="Times New Roman" w:cs="Times New Roman"/>
          <w:sz w:val="24"/>
          <w:szCs w:val="24"/>
        </w:rPr>
        <w:t xml:space="preserve">Kok et al. </w:t>
      </w:r>
      <w:r w:rsidRPr="004B502E">
        <w:rPr>
          <w:rFonts w:ascii="Times New Roman" w:hAnsi="Times New Roman" w:cs="Times New Roman"/>
          <w:sz w:val="24"/>
          <w:szCs w:val="24"/>
        </w:rPr>
        <w:t>(2012),</w:t>
      </w:r>
      <w:r w:rsidR="00DC6961" w:rsidRPr="004B502E">
        <w:rPr>
          <w:rFonts w:ascii="Times New Roman" w:hAnsi="Times New Roman" w:cs="Times New Roman"/>
          <w:sz w:val="24"/>
          <w:szCs w:val="24"/>
        </w:rPr>
        <w:t xml:space="preserve"> the</w:t>
      </w:r>
      <w:r w:rsidRPr="004B502E">
        <w:rPr>
          <w:rFonts w:ascii="Times New Roman" w:hAnsi="Times New Roman" w:cs="Times New Roman"/>
          <w:sz w:val="24"/>
          <w:szCs w:val="24"/>
        </w:rPr>
        <w:t xml:space="preserve"> authors analyze</w:t>
      </w:r>
      <w:r w:rsidR="0043370B" w:rsidRPr="004B502E">
        <w:rPr>
          <w:rFonts w:ascii="Times New Roman" w:hAnsi="Times New Roman" w:cs="Times New Roman"/>
          <w:sz w:val="24"/>
          <w:szCs w:val="24"/>
        </w:rPr>
        <w:t>d</w:t>
      </w:r>
      <w:r w:rsidRPr="004B502E">
        <w:rPr>
          <w:rFonts w:ascii="Times New Roman" w:hAnsi="Times New Roman" w:cs="Times New Roman"/>
          <w:sz w:val="24"/>
          <w:szCs w:val="24"/>
        </w:rPr>
        <w:t xml:space="preserve"> the effect of </w:t>
      </w:r>
      <w:r w:rsidR="000D3A6B" w:rsidRPr="004B502E">
        <w:rPr>
          <w:rFonts w:ascii="Times New Roman" w:hAnsi="Times New Roman" w:cs="Times New Roman"/>
          <w:sz w:val="24"/>
          <w:szCs w:val="24"/>
        </w:rPr>
        <w:t xml:space="preserve">both </w:t>
      </w:r>
      <w:r w:rsidRPr="004B502E">
        <w:rPr>
          <w:rFonts w:ascii="Times New Roman" w:hAnsi="Times New Roman" w:cs="Times New Roman"/>
          <w:sz w:val="24"/>
          <w:szCs w:val="24"/>
        </w:rPr>
        <w:t>int</w:t>
      </w:r>
      <w:r w:rsidR="00117C84">
        <w:rPr>
          <w:rFonts w:ascii="Times New Roman" w:hAnsi="Times New Roman" w:cs="Times New Roman"/>
          <w:sz w:val="24"/>
          <w:szCs w:val="24"/>
        </w:rPr>
        <w:t>ernal as well as external factors</w:t>
      </w:r>
      <w:r w:rsidRPr="004B502E">
        <w:rPr>
          <w:rFonts w:ascii="Times New Roman" w:hAnsi="Times New Roman" w:cs="Times New Roman"/>
          <w:sz w:val="24"/>
          <w:szCs w:val="24"/>
        </w:rPr>
        <w:t xml:space="preserve"> on the performance of Malaysian Islamic </w:t>
      </w:r>
      <w:r w:rsidR="009C076C">
        <w:rPr>
          <w:rFonts w:ascii="Times New Roman" w:hAnsi="Times New Roman" w:cs="Times New Roman"/>
          <w:sz w:val="24"/>
          <w:szCs w:val="24"/>
        </w:rPr>
        <w:t>b</w:t>
      </w:r>
      <w:r w:rsidRPr="004B502E">
        <w:rPr>
          <w:rFonts w:ascii="Times New Roman" w:hAnsi="Times New Roman" w:cs="Times New Roman"/>
          <w:sz w:val="24"/>
          <w:szCs w:val="24"/>
        </w:rPr>
        <w:t xml:space="preserve">anks. Data </w:t>
      </w:r>
      <w:r w:rsidR="009C076C">
        <w:rPr>
          <w:rFonts w:ascii="Times New Roman" w:hAnsi="Times New Roman" w:cs="Times New Roman"/>
          <w:sz w:val="24"/>
          <w:szCs w:val="24"/>
        </w:rPr>
        <w:t>us</w:t>
      </w:r>
      <w:r w:rsidR="009C076C" w:rsidRPr="004B502E">
        <w:rPr>
          <w:rFonts w:ascii="Times New Roman" w:hAnsi="Times New Roman" w:cs="Times New Roman"/>
          <w:sz w:val="24"/>
          <w:szCs w:val="24"/>
        </w:rPr>
        <w:t xml:space="preserve">ed </w:t>
      </w:r>
      <w:r w:rsidRPr="004B502E">
        <w:rPr>
          <w:rFonts w:ascii="Times New Roman" w:hAnsi="Times New Roman" w:cs="Times New Roman"/>
          <w:sz w:val="24"/>
          <w:szCs w:val="24"/>
        </w:rPr>
        <w:t xml:space="preserve">in this study </w:t>
      </w:r>
      <w:r w:rsidR="0043370B" w:rsidRPr="004B502E">
        <w:rPr>
          <w:rFonts w:ascii="Times New Roman" w:hAnsi="Times New Roman" w:cs="Times New Roman"/>
          <w:sz w:val="24"/>
          <w:szCs w:val="24"/>
        </w:rPr>
        <w:t xml:space="preserve">were </w:t>
      </w:r>
      <w:r w:rsidRPr="004B502E">
        <w:rPr>
          <w:rFonts w:ascii="Times New Roman" w:hAnsi="Times New Roman" w:cs="Times New Roman"/>
          <w:sz w:val="24"/>
          <w:szCs w:val="24"/>
        </w:rPr>
        <w:t xml:space="preserve">obtained from all </w:t>
      </w:r>
      <w:r w:rsidR="00852351">
        <w:rPr>
          <w:rFonts w:ascii="Times New Roman" w:hAnsi="Times New Roman" w:cs="Times New Roman"/>
          <w:sz w:val="24"/>
          <w:szCs w:val="24"/>
        </w:rPr>
        <w:t>Islamic banks</w:t>
      </w:r>
      <w:r w:rsidRPr="004B502E">
        <w:rPr>
          <w:rFonts w:ascii="Times New Roman" w:hAnsi="Times New Roman" w:cs="Times New Roman"/>
          <w:sz w:val="24"/>
          <w:szCs w:val="24"/>
        </w:rPr>
        <w:t xml:space="preserve"> of Malaysia for the ti</w:t>
      </w:r>
      <w:r w:rsidR="000D3A6B" w:rsidRPr="004B502E">
        <w:rPr>
          <w:rFonts w:ascii="Times New Roman" w:hAnsi="Times New Roman" w:cs="Times New Roman"/>
          <w:sz w:val="24"/>
          <w:szCs w:val="24"/>
        </w:rPr>
        <w:t>me</w:t>
      </w:r>
      <w:r w:rsidR="009C076C">
        <w:rPr>
          <w:rFonts w:ascii="Times New Roman" w:hAnsi="Times New Roman" w:cs="Times New Roman"/>
          <w:sz w:val="24"/>
          <w:szCs w:val="24"/>
        </w:rPr>
        <w:t xml:space="preserve"> </w:t>
      </w:r>
      <w:r w:rsidR="000D3A6B" w:rsidRPr="004B502E">
        <w:rPr>
          <w:rFonts w:ascii="Times New Roman" w:hAnsi="Times New Roman" w:cs="Times New Roman"/>
          <w:sz w:val="24"/>
          <w:szCs w:val="24"/>
        </w:rPr>
        <w:t>frame of 2006</w:t>
      </w:r>
      <w:r w:rsidR="009C076C">
        <w:rPr>
          <w:rFonts w:ascii="Times New Roman" w:hAnsi="Times New Roman" w:cs="Times New Roman"/>
          <w:sz w:val="24"/>
          <w:szCs w:val="24"/>
        </w:rPr>
        <w:t>-</w:t>
      </w:r>
      <w:r w:rsidR="000D3A6B" w:rsidRPr="004B502E">
        <w:rPr>
          <w:rFonts w:ascii="Times New Roman" w:hAnsi="Times New Roman" w:cs="Times New Roman"/>
          <w:sz w:val="24"/>
          <w:szCs w:val="24"/>
        </w:rPr>
        <w:t>2010.</w:t>
      </w:r>
      <w:r w:rsidRPr="004B502E">
        <w:rPr>
          <w:rFonts w:ascii="Times New Roman" w:hAnsi="Times New Roman" w:cs="Times New Roman"/>
          <w:sz w:val="24"/>
          <w:szCs w:val="24"/>
        </w:rPr>
        <w:t xml:space="preserve"> As a result</w:t>
      </w:r>
      <w:r w:rsidR="000D3A6B" w:rsidRPr="004B502E">
        <w:rPr>
          <w:rFonts w:ascii="Times New Roman" w:hAnsi="Times New Roman" w:cs="Times New Roman"/>
          <w:sz w:val="24"/>
          <w:szCs w:val="24"/>
        </w:rPr>
        <w:t xml:space="preserve"> of </w:t>
      </w:r>
      <w:r w:rsidR="009C076C">
        <w:rPr>
          <w:rFonts w:ascii="Times New Roman" w:hAnsi="Times New Roman" w:cs="Times New Roman"/>
          <w:sz w:val="24"/>
          <w:szCs w:val="24"/>
        </w:rPr>
        <w:t>a</w:t>
      </w:r>
      <w:r w:rsidR="009C076C" w:rsidRPr="004B502E">
        <w:rPr>
          <w:rFonts w:ascii="Times New Roman" w:hAnsi="Times New Roman" w:cs="Times New Roman"/>
          <w:sz w:val="24"/>
          <w:szCs w:val="24"/>
        </w:rPr>
        <w:t xml:space="preserve"> </w:t>
      </w:r>
      <w:r w:rsidR="000D3A6B" w:rsidRPr="004B502E">
        <w:rPr>
          <w:rFonts w:ascii="Times New Roman" w:hAnsi="Times New Roman" w:cs="Times New Roman"/>
          <w:sz w:val="24"/>
          <w:szCs w:val="24"/>
        </w:rPr>
        <w:t>regression analysis</w:t>
      </w:r>
      <w:r w:rsidRPr="004B502E">
        <w:rPr>
          <w:rFonts w:ascii="Times New Roman" w:hAnsi="Times New Roman" w:cs="Times New Roman"/>
          <w:sz w:val="24"/>
          <w:szCs w:val="24"/>
        </w:rPr>
        <w:t xml:space="preserve">, </w:t>
      </w:r>
      <w:r w:rsidR="00DC6961" w:rsidRPr="004B502E">
        <w:rPr>
          <w:rFonts w:ascii="Times New Roman" w:hAnsi="Times New Roman" w:cs="Times New Roman"/>
          <w:sz w:val="24"/>
          <w:szCs w:val="24"/>
        </w:rPr>
        <w:t xml:space="preserve">the </w:t>
      </w:r>
      <w:r w:rsidRPr="004B502E">
        <w:rPr>
          <w:rFonts w:ascii="Times New Roman" w:hAnsi="Times New Roman" w:cs="Times New Roman"/>
          <w:sz w:val="24"/>
          <w:szCs w:val="24"/>
        </w:rPr>
        <w:t>authors revealed that while bank size and money supply have a positive and statistically significantly effect on bank performance, asset quality and expense management have a negative effect on banks performance.</w:t>
      </w:r>
      <w:r w:rsidR="000D3A6B" w:rsidRPr="004B502E">
        <w:rPr>
          <w:rFonts w:ascii="Times New Roman" w:hAnsi="Times New Roman" w:cs="Times New Roman"/>
          <w:sz w:val="24"/>
          <w:szCs w:val="24"/>
        </w:rPr>
        <w:t xml:space="preserve"> </w:t>
      </w:r>
      <w:r w:rsidR="0043370B" w:rsidRPr="004B502E">
        <w:rPr>
          <w:rFonts w:ascii="Times New Roman" w:hAnsi="Times New Roman" w:cs="Times New Roman"/>
          <w:sz w:val="24"/>
          <w:szCs w:val="24"/>
        </w:rPr>
        <w:t>This study is more advanced</w:t>
      </w:r>
      <w:r w:rsidR="00AB35F4" w:rsidRPr="004B502E">
        <w:rPr>
          <w:rFonts w:ascii="Times New Roman" w:hAnsi="Times New Roman" w:cs="Times New Roman"/>
          <w:sz w:val="24"/>
          <w:szCs w:val="24"/>
        </w:rPr>
        <w:t xml:space="preserve"> </w:t>
      </w:r>
      <w:r w:rsidR="009C076C">
        <w:rPr>
          <w:rFonts w:ascii="Times New Roman" w:hAnsi="Times New Roman" w:cs="Times New Roman"/>
          <w:sz w:val="24"/>
          <w:szCs w:val="24"/>
        </w:rPr>
        <w:t>than</w:t>
      </w:r>
      <w:r w:rsidR="00AB35F4" w:rsidRPr="004B502E">
        <w:rPr>
          <w:rFonts w:ascii="Times New Roman" w:hAnsi="Times New Roman" w:cs="Times New Roman"/>
          <w:sz w:val="24"/>
          <w:szCs w:val="24"/>
        </w:rPr>
        <w:t xml:space="preserve"> the profitability studies previously conducted on Malaysian </w:t>
      </w:r>
      <w:r w:rsidR="00852351">
        <w:rPr>
          <w:rFonts w:ascii="Times New Roman" w:hAnsi="Times New Roman" w:cs="Times New Roman"/>
          <w:sz w:val="24"/>
          <w:szCs w:val="24"/>
        </w:rPr>
        <w:t>Islamic banks</w:t>
      </w:r>
      <w:r w:rsidR="0043370B" w:rsidRPr="004B502E">
        <w:rPr>
          <w:rFonts w:ascii="Times New Roman" w:hAnsi="Times New Roman" w:cs="Times New Roman"/>
          <w:sz w:val="24"/>
          <w:szCs w:val="24"/>
        </w:rPr>
        <w:t xml:space="preserve">. </w:t>
      </w:r>
      <w:r w:rsidRPr="004B502E">
        <w:rPr>
          <w:rFonts w:ascii="Times New Roman" w:hAnsi="Times New Roman" w:cs="Times New Roman"/>
          <w:sz w:val="24"/>
          <w:szCs w:val="24"/>
        </w:rPr>
        <w:t>However, as it is stated in the limitations and recommendation</w:t>
      </w:r>
      <w:r w:rsidR="009C076C">
        <w:rPr>
          <w:rFonts w:ascii="Times New Roman" w:hAnsi="Times New Roman" w:cs="Times New Roman"/>
          <w:sz w:val="24"/>
          <w:szCs w:val="24"/>
        </w:rPr>
        <w:t>s</w:t>
      </w:r>
      <w:r w:rsidRPr="004B502E">
        <w:rPr>
          <w:rFonts w:ascii="Times New Roman" w:hAnsi="Times New Roman" w:cs="Times New Roman"/>
          <w:sz w:val="24"/>
          <w:szCs w:val="24"/>
        </w:rPr>
        <w:t xml:space="preserve"> sections of the study, </w:t>
      </w:r>
      <w:r w:rsidR="00DC6961" w:rsidRPr="004B502E">
        <w:rPr>
          <w:rFonts w:ascii="Times New Roman" w:hAnsi="Times New Roman" w:cs="Times New Roman"/>
          <w:sz w:val="24"/>
          <w:szCs w:val="24"/>
        </w:rPr>
        <w:t xml:space="preserve">the </w:t>
      </w:r>
      <w:r w:rsidR="0043370B" w:rsidRPr="004B502E">
        <w:rPr>
          <w:rFonts w:ascii="Times New Roman" w:hAnsi="Times New Roman" w:cs="Times New Roman"/>
          <w:sz w:val="24"/>
          <w:szCs w:val="24"/>
        </w:rPr>
        <w:t>authors did not</w:t>
      </w:r>
      <w:r w:rsidR="00CE024E" w:rsidRPr="004B502E">
        <w:rPr>
          <w:rFonts w:ascii="Times New Roman" w:hAnsi="Times New Roman" w:cs="Times New Roman"/>
          <w:sz w:val="24"/>
          <w:szCs w:val="24"/>
        </w:rPr>
        <w:t xml:space="preserve"> address all the statistical tests</w:t>
      </w:r>
      <w:r w:rsidR="00117C84">
        <w:rPr>
          <w:rFonts w:ascii="Times New Roman" w:hAnsi="Times New Roman" w:cs="Times New Roman"/>
          <w:sz w:val="24"/>
          <w:szCs w:val="24"/>
        </w:rPr>
        <w:t xml:space="preserve"> </w:t>
      </w:r>
      <w:r w:rsidR="009C076C">
        <w:rPr>
          <w:rFonts w:ascii="Times New Roman" w:hAnsi="Times New Roman" w:cs="Times New Roman"/>
          <w:sz w:val="24"/>
          <w:szCs w:val="24"/>
        </w:rPr>
        <w:t xml:space="preserve">that </w:t>
      </w:r>
      <w:r w:rsidR="00117C84">
        <w:rPr>
          <w:rFonts w:ascii="Times New Roman" w:hAnsi="Times New Roman" w:cs="Times New Roman"/>
          <w:sz w:val="24"/>
          <w:szCs w:val="24"/>
        </w:rPr>
        <w:t>might a</w:t>
      </w:r>
      <w:r w:rsidR="00CE024E" w:rsidRPr="004B502E">
        <w:rPr>
          <w:rFonts w:ascii="Times New Roman" w:hAnsi="Times New Roman" w:cs="Times New Roman"/>
          <w:sz w:val="24"/>
          <w:szCs w:val="24"/>
        </w:rPr>
        <w:t>ffect</w:t>
      </w:r>
      <w:r w:rsidR="0043370B" w:rsidRPr="004B502E">
        <w:rPr>
          <w:rFonts w:ascii="Times New Roman" w:hAnsi="Times New Roman" w:cs="Times New Roman"/>
          <w:sz w:val="24"/>
          <w:szCs w:val="24"/>
        </w:rPr>
        <w:t xml:space="preserve"> the generalizability</w:t>
      </w:r>
      <w:r w:rsidR="00CE024E" w:rsidRPr="004B502E">
        <w:rPr>
          <w:rFonts w:ascii="Times New Roman" w:hAnsi="Times New Roman" w:cs="Times New Roman"/>
          <w:sz w:val="24"/>
          <w:szCs w:val="24"/>
        </w:rPr>
        <w:t xml:space="preserve"> of the study results</w:t>
      </w:r>
      <w:r w:rsidR="0043370B" w:rsidRPr="004B502E">
        <w:rPr>
          <w:rFonts w:ascii="Times New Roman" w:hAnsi="Times New Roman" w:cs="Times New Roman"/>
          <w:sz w:val="24"/>
          <w:szCs w:val="24"/>
        </w:rPr>
        <w:t xml:space="preserve">. </w:t>
      </w:r>
    </w:p>
    <w:p w:rsidR="00CE024E" w:rsidRPr="004B502E" w:rsidRDefault="00CE024E" w:rsidP="007D2666">
      <w:pPr>
        <w:spacing w:line="480" w:lineRule="auto"/>
        <w:ind w:firstLine="720"/>
        <w:rPr>
          <w:rFonts w:ascii="Times New Roman" w:hAnsi="Times New Roman" w:cs="Times New Roman"/>
          <w:sz w:val="24"/>
          <w:szCs w:val="24"/>
        </w:rPr>
      </w:pPr>
      <w:r w:rsidRPr="004B502E">
        <w:rPr>
          <w:rFonts w:ascii="Times New Roman" w:hAnsi="Times New Roman" w:cs="Times New Roman"/>
          <w:sz w:val="24"/>
          <w:szCs w:val="24"/>
        </w:rPr>
        <w:t xml:space="preserve">In the present study, we </w:t>
      </w:r>
      <w:r w:rsidR="00904B27">
        <w:rPr>
          <w:rFonts w:ascii="Times New Roman" w:hAnsi="Times New Roman" w:cs="Times New Roman"/>
          <w:sz w:val="24"/>
          <w:szCs w:val="24"/>
        </w:rPr>
        <w:t>will address</w:t>
      </w:r>
      <w:r w:rsidRPr="004B502E">
        <w:rPr>
          <w:rFonts w:ascii="Times New Roman" w:hAnsi="Times New Roman" w:cs="Times New Roman"/>
          <w:sz w:val="24"/>
          <w:szCs w:val="24"/>
        </w:rPr>
        <w:t xml:space="preserve"> the findings and limitations of the previously stated profitability studies conducted on Malaysian </w:t>
      </w:r>
      <w:r w:rsidR="00852351">
        <w:rPr>
          <w:rFonts w:ascii="Times New Roman" w:hAnsi="Times New Roman" w:cs="Times New Roman"/>
          <w:sz w:val="24"/>
          <w:szCs w:val="24"/>
        </w:rPr>
        <w:t>Islamic banks</w:t>
      </w:r>
      <w:r w:rsidRPr="004B502E">
        <w:rPr>
          <w:rFonts w:ascii="Times New Roman" w:hAnsi="Times New Roman" w:cs="Times New Roman"/>
          <w:sz w:val="24"/>
          <w:szCs w:val="24"/>
        </w:rPr>
        <w:t xml:space="preserve"> (i.e.</w:t>
      </w:r>
      <w:r w:rsidR="00904B27">
        <w:rPr>
          <w:rFonts w:ascii="Times New Roman" w:hAnsi="Times New Roman" w:cs="Times New Roman"/>
          <w:sz w:val="24"/>
          <w:szCs w:val="24"/>
        </w:rPr>
        <w:t>,</w:t>
      </w:r>
      <w:r w:rsidRPr="004B502E">
        <w:rPr>
          <w:rFonts w:ascii="Times New Roman" w:hAnsi="Times New Roman" w:cs="Times New Roman"/>
          <w:sz w:val="24"/>
          <w:szCs w:val="24"/>
        </w:rPr>
        <w:t xml:space="preserve"> Idris et al., 2011; Kok et al., 2012; Wasiuzzaman &amp; Tarmizi</w:t>
      </w:r>
      <w:r w:rsidR="00DC6961" w:rsidRPr="004B502E">
        <w:rPr>
          <w:rFonts w:ascii="Times New Roman" w:hAnsi="Times New Roman" w:cs="Times New Roman"/>
          <w:sz w:val="24"/>
          <w:szCs w:val="24"/>
        </w:rPr>
        <w:t>,</w:t>
      </w:r>
      <w:r w:rsidRPr="004B502E">
        <w:rPr>
          <w:rFonts w:ascii="Times New Roman" w:hAnsi="Times New Roman" w:cs="Times New Roman"/>
          <w:sz w:val="24"/>
          <w:szCs w:val="24"/>
        </w:rPr>
        <w:t xml:space="preserve"> 2010) in the following way</w:t>
      </w:r>
      <w:r w:rsidR="00904B27">
        <w:rPr>
          <w:rFonts w:ascii="Times New Roman" w:hAnsi="Times New Roman" w:cs="Times New Roman"/>
          <w:sz w:val="24"/>
          <w:szCs w:val="24"/>
        </w:rPr>
        <w:t>s</w:t>
      </w:r>
      <w:r w:rsidRPr="004B502E">
        <w:rPr>
          <w:rFonts w:ascii="Times New Roman" w:hAnsi="Times New Roman" w:cs="Times New Roman"/>
          <w:sz w:val="24"/>
          <w:szCs w:val="24"/>
        </w:rPr>
        <w:t>:</w:t>
      </w:r>
    </w:p>
    <w:p w:rsidR="003B3C8C" w:rsidRPr="004B502E" w:rsidRDefault="00CE024E" w:rsidP="003B3C8C">
      <w:pPr>
        <w:pStyle w:val="ListParagraph"/>
        <w:numPr>
          <w:ilvl w:val="0"/>
          <w:numId w:val="15"/>
        </w:numPr>
        <w:spacing w:line="480" w:lineRule="auto"/>
        <w:rPr>
          <w:rFonts w:ascii="Times New Roman" w:hAnsi="Times New Roman" w:cs="Times New Roman"/>
          <w:sz w:val="24"/>
          <w:szCs w:val="24"/>
        </w:rPr>
      </w:pPr>
      <w:r w:rsidRPr="004B502E">
        <w:rPr>
          <w:rFonts w:ascii="Times New Roman" w:hAnsi="Times New Roman" w:cs="Times New Roman"/>
          <w:sz w:val="24"/>
          <w:szCs w:val="24"/>
        </w:rPr>
        <w:t>Overcoming f</w:t>
      </w:r>
      <w:r w:rsidR="005C226E" w:rsidRPr="004B502E">
        <w:rPr>
          <w:rFonts w:ascii="Times New Roman" w:hAnsi="Times New Roman" w:cs="Times New Roman"/>
          <w:sz w:val="24"/>
          <w:szCs w:val="24"/>
        </w:rPr>
        <w:t xml:space="preserve">indings </w:t>
      </w:r>
      <w:r w:rsidRPr="004B502E">
        <w:rPr>
          <w:rFonts w:ascii="Times New Roman" w:hAnsi="Times New Roman" w:cs="Times New Roman"/>
          <w:sz w:val="24"/>
          <w:szCs w:val="24"/>
        </w:rPr>
        <w:t xml:space="preserve">and limitations </w:t>
      </w:r>
      <w:r w:rsidR="005C226E" w:rsidRPr="004B502E">
        <w:rPr>
          <w:rFonts w:ascii="Times New Roman" w:hAnsi="Times New Roman" w:cs="Times New Roman"/>
          <w:sz w:val="24"/>
          <w:szCs w:val="24"/>
        </w:rPr>
        <w:t xml:space="preserve">regarding data set: </w:t>
      </w:r>
      <w:r w:rsidR="00117C84">
        <w:rPr>
          <w:rFonts w:ascii="Times New Roman" w:hAnsi="Times New Roman" w:cs="Times New Roman"/>
          <w:sz w:val="24"/>
          <w:szCs w:val="24"/>
        </w:rPr>
        <w:t>I</w:t>
      </w:r>
      <w:r w:rsidRPr="004B502E">
        <w:rPr>
          <w:rFonts w:ascii="Times New Roman" w:hAnsi="Times New Roman" w:cs="Times New Roman"/>
          <w:sz w:val="24"/>
          <w:szCs w:val="24"/>
        </w:rPr>
        <w:t xml:space="preserve">n the current study, compared to the one conducted by Wasiuzzaman and Tarmizi (2010), we </w:t>
      </w:r>
      <w:r w:rsidR="00904B27">
        <w:rPr>
          <w:rFonts w:ascii="Times New Roman" w:hAnsi="Times New Roman" w:cs="Times New Roman"/>
          <w:sz w:val="24"/>
          <w:szCs w:val="24"/>
        </w:rPr>
        <w:t>will</w:t>
      </w:r>
      <w:r w:rsidR="00904B27" w:rsidRPr="004B502E">
        <w:rPr>
          <w:rFonts w:ascii="Times New Roman" w:hAnsi="Times New Roman" w:cs="Times New Roman"/>
          <w:sz w:val="24"/>
          <w:szCs w:val="24"/>
        </w:rPr>
        <w:t xml:space="preserve"> </w:t>
      </w:r>
      <w:r w:rsidRPr="004B502E">
        <w:rPr>
          <w:rFonts w:ascii="Times New Roman" w:hAnsi="Times New Roman" w:cs="Times New Roman"/>
          <w:sz w:val="24"/>
          <w:szCs w:val="24"/>
        </w:rPr>
        <w:t xml:space="preserve">use data obtained only from Islamic </w:t>
      </w:r>
      <w:r w:rsidR="00904B27">
        <w:rPr>
          <w:rFonts w:ascii="Times New Roman" w:hAnsi="Times New Roman" w:cs="Times New Roman"/>
          <w:sz w:val="24"/>
          <w:szCs w:val="24"/>
        </w:rPr>
        <w:t>b</w:t>
      </w:r>
      <w:r w:rsidRPr="004B502E">
        <w:rPr>
          <w:rFonts w:ascii="Times New Roman" w:hAnsi="Times New Roman" w:cs="Times New Roman"/>
          <w:sz w:val="24"/>
          <w:szCs w:val="24"/>
        </w:rPr>
        <w:t>anks. This would increase the generalizability of the study.</w:t>
      </w:r>
      <w:r w:rsidR="005C226E" w:rsidRPr="004B502E">
        <w:rPr>
          <w:rFonts w:ascii="Times New Roman" w:hAnsi="Times New Roman" w:cs="Times New Roman"/>
          <w:sz w:val="24"/>
          <w:szCs w:val="24"/>
        </w:rPr>
        <w:t xml:space="preserve"> </w:t>
      </w:r>
      <w:r w:rsidR="00AB35F4" w:rsidRPr="004B502E">
        <w:rPr>
          <w:rFonts w:ascii="Times New Roman" w:hAnsi="Times New Roman" w:cs="Times New Roman"/>
          <w:sz w:val="24"/>
          <w:szCs w:val="24"/>
        </w:rPr>
        <w:t xml:space="preserve"> </w:t>
      </w:r>
      <w:r w:rsidR="00B63380" w:rsidRPr="004B502E">
        <w:rPr>
          <w:rFonts w:ascii="Times New Roman" w:hAnsi="Times New Roman" w:cs="Times New Roman"/>
          <w:sz w:val="24"/>
          <w:szCs w:val="24"/>
        </w:rPr>
        <w:t xml:space="preserve"> </w:t>
      </w:r>
    </w:p>
    <w:p w:rsidR="00B63380" w:rsidRPr="00117C84" w:rsidRDefault="003746CE" w:rsidP="00EF66CD">
      <w:pPr>
        <w:pStyle w:val="ListParagraph"/>
        <w:numPr>
          <w:ilvl w:val="0"/>
          <w:numId w:val="15"/>
        </w:numPr>
        <w:spacing w:line="480" w:lineRule="auto"/>
        <w:rPr>
          <w:rFonts w:ascii="Times New Roman" w:hAnsi="Times New Roman" w:cs="Times New Roman"/>
          <w:sz w:val="24"/>
          <w:szCs w:val="24"/>
        </w:rPr>
      </w:pPr>
      <w:r w:rsidRPr="00117C84">
        <w:rPr>
          <w:rFonts w:ascii="Times New Roman" w:hAnsi="Times New Roman" w:cs="Times New Roman"/>
          <w:sz w:val="24"/>
          <w:szCs w:val="24"/>
        </w:rPr>
        <w:t>Overcoming f</w:t>
      </w:r>
      <w:r w:rsidR="005C226E" w:rsidRPr="00117C84">
        <w:rPr>
          <w:rFonts w:ascii="Times New Roman" w:hAnsi="Times New Roman" w:cs="Times New Roman"/>
          <w:sz w:val="24"/>
          <w:szCs w:val="24"/>
        </w:rPr>
        <w:t xml:space="preserve">indings </w:t>
      </w:r>
      <w:r w:rsidRPr="00117C84">
        <w:rPr>
          <w:rFonts w:ascii="Times New Roman" w:hAnsi="Times New Roman" w:cs="Times New Roman"/>
          <w:sz w:val="24"/>
          <w:szCs w:val="24"/>
        </w:rPr>
        <w:t xml:space="preserve">and limitations regarding </w:t>
      </w:r>
      <w:r w:rsidR="005C226E" w:rsidRPr="00117C84">
        <w:rPr>
          <w:rFonts w:ascii="Times New Roman" w:hAnsi="Times New Roman" w:cs="Times New Roman"/>
          <w:sz w:val="24"/>
          <w:szCs w:val="24"/>
        </w:rPr>
        <w:t xml:space="preserve">methodology: </w:t>
      </w:r>
      <w:r w:rsidR="00117C84">
        <w:rPr>
          <w:rFonts w:ascii="Times New Roman" w:hAnsi="Times New Roman" w:cs="Times New Roman"/>
          <w:sz w:val="24"/>
          <w:szCs w:val="24"/>
        </w:rPr>
        <w:t>I</w:t>
      </w:r>
      <w:r w:rsidRPr="00117C84">
        <w:rPr>
          <w:rFonts w:ascii="Times New Roman" w:hAnsi="Times New Roman" w:cs="Times New Roman"/>
          <w:sz w:val="24"/>
          <w:szCs w:val="24"/>
        </w:rPr>
        <w:t xml:space="preserve">n the current study, compared to the one conducted by </w:t>
      </w:r>
      <w:r w:rsidR="005C226E" w:rsidRPr="00117C84">
        <w:rPr>
          <w:rFonts w:ascii="Times New Roman" w:hAnsi="Times New Roman" w:cs="Times New Roman"/>
          <w:sz w:val="24"/>
          <w:szCs w:val="24"/>
        </w:rPr>
        <w:t xml:space="preserve">Idris et al. (2011), </w:t>
      </w:r>
      <w:r w:rsidRPr="00117C84">
        <w:rPr>
          <w:rFonts w:ascii="Times New Roman" w:hAnsi="Times New Roman" w:cs="Times New Roman"/>
          <w:sz w:val="24"/>
          <w:szCs w:val="24"/>
        </w:rPr>
        <w:t xml:space="preserve">we </w:t>
      </w:r>
      <w:r w:rsidR="00904B27">
        <w:rPr>
          <w:rFonts w:ascii="Times New Roman" w:hAnsi="Times New Roman" w:cs="Times New Roman"/>
          <w:sz w:val="24"/>
          <w:szCs w:val="24"/>
        </w:rPr>
        <w:t>will</w:t>
      </w:r>
      <w:r w:rsidR="00904B27" w:rsidRPr="00117C84">
        <w:rPr>
          <w:rFonts w:ascii="Times New Roman" w:hAnsi="Times New Roman" w:cs="Times New Roman"/>
          <w:sz w:val="24"/>
          <w:szCs w:val="24"/>
        </w:rPr>
        <w:t xml:space="preserve"> </w:t>
      </w:r>
      <w:r w:rsidRPr="00117C84">
        <w:rPr>
          <w:rFonts w:ascii="Times New Roman" w:hAnsi="Times New Roman" w:cs="Times New Roman"/>
          <w:sz w:val="24"/>
          <w:szCs w:val="24"/>
        </w:rPr>
        <w:t xml:space="preserve">consider the effect of </w:t>
      </w:r>
      <w:r w:rsidR="00DC6961" w:rsidRPr="00117C84">
        <w:rPr>
          <w:rFonts w:ascii="Times New Roman" w:hAnsi="Times New Roman" w:cs="Times New Roman"/>
          <w:sz w:val="24"/>
          <w:szCs w:val="24"/>
        </w:rPr>
        <w:t xml:space="preserve">the </w:t>
      </w:r>
      <w:r w:rsidR="00DC0077" w:rsidRPr="00117C84">
        <w:rPr>
          <w:rFonts w:ascii="Times New Roman" w:hAnsi="Times New Roman" w:cs="Times New Roman"/>
          <w:sz w:val="24"/>
          <w:szCs w:val="24"/>
        </w:rPr>
        <w:t xml:space="preserve">financial </w:t>
      </w:r>
      <w:r w:rsidRPr="00117C84">
        <w:rPr>
          <w:rFonts w:ascii="Times New Roman" w:hAnsi="Times New Roman" w:cs="Times New Roman"/>
          <w:sz w:val="24"/>
          <w:szCs w:val="24"/>
        </w:rPr>
        <w:t xml:space="preserve">crisis on the performance of </w:t>
      </w:r>
      <w:r w:rsidR="00852351">
        <w:rPr>
          <w:rFonts w:ascii="Times New Roman" w:hAnsi="Times New Roman" w:cs="Times New Roman"/>
          <w:sz w:val="24"/>
          <w:szCs w:val="24"/>
        </w:rPr>
        <w:t>Islamic banks</w:t>
      </w:r>
      <w:r w:rsidRPr="00117C84">
        <w:rPr>
          <w:rFonts w:ascii="Times New Roman" w:hAnsi="Times New Roman" w:cs="Times New Roman"/>
          <w:sz w:val="24"/>
          <w:szCs w:val="24"/>
        </w:rPr>
        <w:t xml:space="preserve">. </w:t>
      </w:r>
    </w:p>
    <w:p w:rsidR="005B4C33" w:rsidRPr="004B502E" w:rsidRDefault="003746CE" w:rsidP="00EF66CD">
      <w:pPr>
        <w:pStyle w:val="ListParagraph"/>
        <w:numPr>
          <w:ilvl w:val="0"/>
          <w:numId w:val="15"/>
        </w:numPr>
        <w:spacing w:line="480" w:lineRule="auto"/>
        <w:rPr>
          <w:rFonts w:ascii="Times New Roman" w:hAnsi="Times New Roman" w:cs="Times New Roman"/>
          <w:sz w:val="24"/>
          <w:szCs w:val="24"/>
        </w:rPr>
      </w:pPr>
      <w:r w:rsidRPr="00117C84">
        <w:rPr>
          <w:rFonts w:ascii="Times New Roman" w:hAnsi="Times New Roman" w:cs="Times New Roman"/>
          <w:sz w:val="24"/>
          <w:szCs w:val="24"/>
        </w:rPr>
        <w:t xml:space="preserve">Overcoming findings and limitations regarding </w:t>
      </w:r>
      <w:r w:rsidR="00E06FEA" w:rsidRPr="00117C84">
        <w:rPr>
          <w:rFonts w:ascii="Times New Roman" w:hAnsi="Times New Roman" w:cs="Times New Roman"/>
          <w:sz w:val="24"/>
          <w:szCs w:val="24"/>
        </w:rPr>
        <w:t xml:space="preserve">statistical analysis: </w:t>
      </w:r>
      <w:r w:rsidR="00117C84">
        <w:rPr>
          <w:rFonts w:ascii="Times New Roman" w:hAnsi="Times New Roman" w:cs="Times New Roman"/>
          <w:sz w:val="24"/>
          <w:szCs w:val="24"/>
        </w:rPr>
        <w:t>I</w:t>
      </w:r>
      <w:r w:rsidRPr="00117C84">
        <w:rPr>
          <w:rFonts w:ascii="Times New Roman" w:hAnsi="Times New Roman" w:cs="Times New Roman"/>
          <w:sz w:val="24"/>
          <w:szCs w:val="24"/>
        </w:rPr>
        <w:t xml:space="preserve">n the current study, </w:t>
      </w:r>
      <w:r w:rsidR="00DC6961" w:rsidRPr="00117C84">
        <w:rPr>
          <w:rFonts w:ascii="Times New Roman" w:hAnsi="Times New Roman" w:cs="Times New Roman"/>
          <w:sz w:val="24"/>
          <w:szCs w:val="24"/>
        </w:rPr>
        <w:t>unlike</w:t>
      </w:r>
      <w:r w:rsidRPr="00117C84">
        <w:rPr>
          <w:rFonts w:ascii="Times New Roman" w:hAnsi="Times New Roman" w:cs="Times New Roman"/>
          <w:sz w:val="24"/>
          <w:szCs w:val="24"/>
        </w:rPr>
        <w:t xml:space="preserve"> the one conducted by </w:t>
      </w:r>
      <w:r w:rsidR="00E06FEA" w:rsidRPr="00117C84">
        <w:rPr>
          <w:rFonts w:ascii="Times New Roman" w:hAnsi="Times New Roman" w:cs="Times New Roman"/>
          <w:sz w:val="24"/>
          <w:szCs w:val="24"/>
        </w:rPr>
        <w:t>Kok et al. (20</w:t>
      </w:r>
      <w:r w:rsidR="00D51754" w:rsidRPr="00117C84">
        <w:rPr>
          <w:rFonts w:ascii="Times New Roman" w:hAnsi="Times New Roman" w:cs="Times New Roman"/>
          <w:sz w:val="24"/>
          <w:szCs w:val="24"/>
        </w:rPr>
        <w:t xml:space="preserve">12), </w:t>
      </w:r>
      <w:r w:rsidRPr="00117C84">
        <w:rPr>
          <w:rFonts w:ascii="Times New Roman" w:hAnsi="Times New Roman" w:cs="Times New Roman"/>
          <w:sz w:val="24"/>
          <w:szCs w:val="24"/>
        </w:rPr>
        <w:t xml:space="preserve">we would </w:t>
      </w:r>
      <w:r w:rsidR="00904B27">
        <w:rPr>
          <w:rFonts w:ascii="Times New Roman" w:hAnsi="Times New Roman" w:cs="Times New Roman"/>
          <w:sz w:val="24"/>
          <w:szCs w:val="24"/>
        </w:rPr>
        <w:t>use</w:t>
      </w:r>
      <w:r w:rsidRPr="00117C84">
        <w:rPr>
          <w:rFonts w:ascii="Times New Roman" w:hAnsi="Times New Roman" w:cs="Times New Roman"/>
          <w:sz w:val="24"/>
          <w:szCs w:val="24"/>
        </w:rPr>
        <w:t xml:space="preserve"> tests of autocorrelation</w:t>
      </w:r>
      <w:r w:rsidR="00E06FEA" w:rsidRPr="00117C84">
        <w:rPr>
          <w:rFonts w:ascii="Times New Roman" w:hAnsi="Times New Roman" w:cs="Times New Roman"/>
          <w:sz w:val="24"/>
          <w:szCs w:val="24"/>
        </w:rPr>
        <w:t>, multicollienearity and the heteroskedasticit</w:t>
      </w:r>
      <w:r w:rsidR="00D51754" w:rsidRPr="00117C84">
        <w:rPr>
          <w:rFonts w:ascii="Times New Roman" w:hAnsi="Times New Roman" w:cs="Times New Roman"/>
          <w:sz w:val="24"/>
          <w:szCs w:val="24"/>
        </w:rPr>
        <w:t>y</w:t>
      </w:r>
      <w:r w:rsidRPr="00117C84">
        <w:rPr>
          <w:rFonts w:ascii="Times New Roman" w:hAnsi="Times New Roman" w:cs="Times New Roman"/>
          <w:sz w:val="24"/>
          <w:szCs w:val="24"/>
        </w:rPr>
        <w:t xml:space="preserve">. </w:t>
      </w:r>
      <w:r w:rsidR="00D51754" w:rsidRPr="00117C84">
        <w:rPr>
          <w:rFonts w:ascii="Times New Roman" w:hAnsi="Times New Roman" w:cs="Times New Roman"/>
          <w:sz w:val="24"/>
          <w:szCs w:val="24"/>
        </w:rPr>
        <w:t xml:space="preserve"> </w:t>
      </w:r>
    </w:p>
    <w:p w:rsidR="007D2666" w:rsidRPr="001D4AB4" w:rsidRDefault="00C74827" w:rsidP="001D4AB4">
      <w:pPr>
        <w:pStyle w:val="Heading2"/>
        <w:spacing w:line="480" w:lineRule="auto"/>
        <w:rPr>
          <w:rFonts w:ascii="Times New Roman" w:hAnsi="Times New Roman" w:cs="Times New Roman"/>
          <w:color w:val="auto"/>
          <w:sz w:val="24"/>
        </w:rPr>
      </w:pPr>
      <w:bookmarkStart w:id="13" w:name="_Toc346718433"/>
      <w:r w:rsidRPr="001D4AB4">
        <w:rPr>
          <w:rFonts w:ascii="Times New Roman" w:hAnsi="Times New Roman" w:cs="Times New Roman"/>
          <w:color w:val="auto"/>
          <w:sz w:val="24"/>
        </w:rPr>
        <w:t>2.</w:t>
      </w:r>
      <w:r w:rsidR="00D921F6" w:rsidRPr="001D4AB4">
        <w:rPr>
          <w:rFonts w:ascii="Times New Roman" w:hAnsi="Times New Roman" w:cs="Times New Roman"/>
          <w:color w:val="auto"/>
          <w:sz w:val="24"/>
        </w:rPr>
        <w:t>4</w:t>
      </w:r>
      <w:r w:rsidR="00E6544D">
        <w:rPr>
          <w:rFonts w:ascii="Times New Roman" w:hAnsi="Times New Roman" w:cs="Times New Roman"/>
          <w:color w:val="auto"/>
          <w:sz w:val="24"/>
        </w:rPr>
        <w:t>.</w:t>
      </w:r>
      <w:r w:rsidR="00C03865" w:rsidRPr="001D4AB4">
        <w:rPr>
          <w:rFonts w:ascii="Times New Roman" w:hAnsi="Times New Roman" w:cs="Times New Roman"/>
          <w:color w:val="auto"/>
          <w:sz w:val="24"/>
        </w:rPr>
        <w:t xml:space="preserve"> </w:t>
      </w:r>
      <w:r w:rsidR="00DC0077">
        <w:rPr>
          <w:rFonts w:ascii="Times New Roman" w:hAnsi="Times New Roman" w:cs="Times New Roman"/>
          <w:color w:val="auto"/>
          <w:sz w:val="24"/>
        </w:rPr>
        <w:t xml:space="preserve">Financial Crisis </w:t>
      </w:r>
      <w:r w:rsidRPr="001D4AB4">
        <w:rPr>
          <w:rFonts w:ascii="Times New Roman" w:hAnsi="Times New Roman" w:cs="Times New Roman"/>
          <w:color w:val="auto"/>
          <w:sz w:val="24"/>
        </w:rPr>
        <w:t>of 2008</w:t>
      </w:r>
      <w:r w:rsidR="00C22FDF">
        <w:rPr>
          <w:rFonts w:ascii="Times New Roman" w:hAnsi="Times New Roman" w:cs="Times New Roman"/>
          <w:color w:val="auto"/>
          <w:sz w:val="24"/>
        </w:rPr>
        <w:t xml:space="preserve"> and Islamic B</w:t>
      </w:r>
      <w:r w:rsidR="00C03865" w:rsidRPr="001D4AB4">
        <w:rPr>
          <w:rFonts w:ascii="Times New Roman" w:hAnsi="Times New Roman" w:cs="Times New Roman"/>
          <w:color w:val="auto"/>
          <w:sz w:val="24"/>
        </w:rPr>
        <w:t>anks</w:t>
      </w:r>
      <w:bookmarkEnd w:id="13"/>
    </w:p>
    <w:p w:rsidR="006C5F3C" w:rsidRPr="004B502E" w:rsidRDefault="00DC0077" w:rsidP="006C5F3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904B27">
        <w:rPr>
          <w:rFonts w:ascii="Times New Roman" w:hAnsi="Times New Roman" w:cs="Times New Roman"/>
          <w:sz w:val="24"/>
          <w:szCs w:val="24"/>
        </w:rPr>
        <w:t xml:space="preserve">most recent major </w:t>
      </w:r>
      <w:r>
        <w:rPr>
          <w:rFonts w:ascii="Times New Roman" w:hAnsi="Times New Roman" w:cs="Times New Roman"/>
          <w:sz w:val="24"/>
          <w:szCs w:val="24"/>
        </w:rPr>
        <w:t>financial crisis</w:t>
      </w:r>
      <w:r w:rsidR="006C5F3C" w:rsidRPr="004B502E">
        <w:rPr>
          <w:rFonts w:ascii="Times New Roman" w:hAnsi="Times New Roman" w:cs="Times New Roman"/>
          <w:sz w:val="24"/>
          <w:szCs w:val="24"/>
        </w:rPr>
        <w:t>, which had it</w:t>
      </w:r>
      <w:r w:rsidR="00DC6961" w:rsidRPr="004B502E">
        <w:rPr>
          <w:rFonts w:ascii="Times New Roman" w:hAnsi="Times New Roman" w:cs="Times New Roman"/>
          <w:sz w:val="24"/>
          <w:szCs w:val="24"/>
        </w:rPr>
        <w:t>s</w:t>
      </w:r>
      <w:r w:rsidR="008B37B5" w:rsidRPr="004B502E">
        <w:rPr>
          <w:rFonts w:ascii="Times New Roman" w:hAnsi="Times New Roman" w:cs="Times New Roman"/>
          <w:sz w:val="24"/>
          <w:szCs w:val="24"/>
        </w:rPr>
        <w:t xml:space="preserve"> </w:t>
      </w:r>
      <w:r w:rsidR="006C5F3C" w:rsidRPr="004B502E">
        <w:rPr>
          <w:rFonts w:ascii="Times New Roman" w:hAnsi="Times New Roman" w:cs="Times New Roman"/>
          <w:sz w:val="24"/>
          <w:szCs w:val="24"/>
        </w:rPr>
        <w:t xml:space="preserve">strongest effect </w:t>
      </w:r>
      <w:r w:rsidR="00904B27">
        <w:rPr>
          <w:rFonts w:ascii="Times New Roman" w:hAnsi="Times New Roman" w:cs="Times New Roman"/>
          <w:sz w:val="24"/>
          <w:szCs w:val="24"/>
        </w:rPr>
        <w:t xml:space="preserve">from </w:t>
      </w:r>
      <w:r w:rsidR="006C5F3C" w:rsidRPr="004B502E">
        <w:rPr>
          <w:rFonts w:ascii="Times New Roman" w:hAnsi="Times New Roman" w:cs="Times New Roman"/>
          <w:sz w:val="24"/>
          <w:szCs w:val="24"/>
        </w:rPr>
        <w:t>2008</w:t>
      </w:r>
      <w:r w:rsidR="00904B27">
        <w:rPr>
          <w:rFonts w:ascii="Times New Roman" w:hAnsi="Times New Roman" w:cs="Times New Roman"/>
          <w:sz w:val="24"/>
          <w:szCs w:val="24"/>
        </w:rPr>
        <w:t xml:space="preserve"> to </w:t>
      </w:r>
      <w:r w:rsidR="006C5F3C" w:rsidRPr="004B502E">
        <w:rPr>
          <w:rFonts w:ascii="Times New Roman" w:hAnsi="Times New Roman" w:cs="Times New Roman"/>
          <w:sz w:val="24"/>
          <w:szCs w:val="24"/>
        </w:rPr>
        <w:t xml:space="preserve">2009, damaged the </w:t>
      </w:r>
      <w:r w:rsidR="008B37B5" w:rsidRPr="004B502E">
        <w:rPr>
          <w:rFonts w:ascii="Times New Roman" w:hAnsi="Times New Roman" w:cs="Times New Roman"/>
          <w:sz w:val="24"/>
          <w:szCs w:val="24"/>
        </w:rPr>
        <w:t>global</w:t>
      </w:r>
      <w:r w:rsidR="006C5F3C" w:rsidRPr="004B502E">
        <w:rPr>
          <w:rFonts w:ascii="Times New Roman" w:hAnsi="Times New Roman" w:cs="Times New Roman"/>
          <w:sz w:val="24"/>
          <w:szCs w:val="24"/>
        </w:rPr>
        <w:t xml:space="preserve"> economy. </w:t>
      </w:r>
      <w:r w:rsidR="00904B27" w:rsidRPr="004B502E">
        <w:rPr>
          <w:rFonts w:ascii="Times New Roman" w:hAnsi="Times New Roman" w:cs="Times New Roman"/>
          <w:sz w:val="24"/>
          <w:szCs w:val="24"/>
        </w:rPr>
        <w:t>Th</w:t>
      </w:r>
      <w:r w:rsidR="00904B27">
        <w:rPr>
          <w:rFonts w:ascii="Times New Roman" w:hAnsi="Times New Roman" w:cs="Times New Roman"/>
          <w:sz w:val="24"/>
          <w:szCs w:val="24"/>
        </w:rPr>
        <w:t>e</w:t>
      </w:r>
      <w:r w:rsidR="00904B27" w:rsidRPr="004B502E">
        <w:rPr>
          <w:rFonts w:ascii="Times New Roman" w:hAnsi="Times New Roman" w:cs="Times New Roman"/>
          <w:sz w:val="24"/>
          <w:szCs w:val="24"/>
        </w:rPr>
        <w:t xml:space="preserve"> </w:t>
      </w:r>
      <w:r w:rsidR="006C5F3C" w:rsidRPr="004B502E">
        <w:rPr>
          <w:rFonts w:ascii="Times New Roman" w:hAnsi="Times New Roman" w:cs="Times New Roman"/>
          <w:sz w:val="24"/>
          <w:szCs w:val="24"/>
        </w:rPr>
        <w:t xml:space="preserve">economic recession not only questioned the stability of </w:t>
      </w:r>
      <w:r w:rsidR="008B37B5" w:rsidRPr="004B502E">
        <w:rPr>
          <w:rFonts w:ascii="Times New Roman" w:hAnsi="Times New Roman" w:cs="Times New Roman"/>
          <w:sz w:val="24"/>
          <w:szCs w:val="24"/>
        </w:rPr>
        <w:t xml:space="preserve">the </w:t>
      </w:r>
      <w:r w:rsidR="006C5F3C" w:rsidRPr="004B502E">
        <w:rPr>
          <w:rFonts w:ascii="Times New Roman" w:hAnsi="Times New Roman" w:cs="Times New Roman"/>
          <w:sz w:val="24"/>
          <w:szCs w:val="24"/>
        </w:rPr>
        <w:t xml:space="preserve">conventional banking system, but at the same time turned attention to Islamic banking as </w:t>
      </w:r>
      <w:r w:rsidR="008B37B5" w:rsidRPr="004B502E">
        <w:rPr>
          <w:rFonts w:ascii="Times New Roman" w:hAnsi="Times New Roman" w:cs="Times New Roman"/>
          <w:sz w:val="24"/>
          <w:szCs w:val="24"/>
        </w:rPr>
        <w:t xml:space="preserve">a </w:t>
      </w:r>
      <w:r w:rsidR="006C5F3C" w:rsidRPr="004B502E">
        <w:rPr>
          <w:rFonts w:ascii="Times New Roman" w:hAnsi="Times New Roman" w:cs="Times New Roman"/>
          <w:sz w:val="24"/>
          <w:szCs w:val="24"/>
        </w:rPr>
        <w:t xml:space="preserve">more stable banking system, </w:t>
      </w:r>
      <w:r w:rsidR="00877A24">
        <w:rPr>
          <w:rFonts w:ascii="Times New Roman" w:hAnsi="Times New Roman" w:cs="Times New Roman"/>
          <w:sz w:val="24"/>
          <w:szCs w:val="24"/>
        </w:rPr>
        <w:t>and as such</w:t>
      </w:r>
      <w:r w:rsidR="006C5F3C" w:rsidRPr="004B502E">
        <w:rPr>
          <w:rFonts w:ascii="Times New Roman" w:hAnsi="Times New Roman" w:cs="Times New Roman"/>
          <w:sz w:val="24"/>
          <w:szCs w:val="24"/>
        </w:rPr>
        <w:t xml:space="preserve"> an alternative to convention</w:t>
      </w:r>
      <w:r w:rsidR="00BC315F" w:rsidRPr="004B502E">
        <w:rPr>
          <w:rFonts w:ascii="Times New Roman" w:hAnsi="Times New Roman" w:cs="Times New Roman"/>
          <w:sz w:val="24"/>
          <w:szCs w:val="24"/>
        </w:rPr>
        <w:t>al banking practice</w:t>
      </w:r>
      <w:r w:rsidR="00877A24">
        <w:rPr>
          <w:rFonts w:ascii="Times New Roman" w:hAnsi="Times New Roman" w:cs="Times New Roman"/>
          <w:sz w:val="24"/>
          <w:szCs w:val="24"/>
        </w:rPr>
        <w:t>s</w:t>
      </w:r>
      <w:r w:rsidR="00BC315F" w:rsidRPr="004B502E">
        <w:rPr>
          <w:rFonts w:ascii="Times New Roman" w:hAnsi="Times New Roman" w:cs="Times New Roman"/>
          <w:sz w:val="24"/>
          <w:szCs w:val="24"/>
        </w:rPr>
        <w:t xml:space="preserve"> (</w:t>
      </w:r>
      <w:r w:rsidR="00951213" w:rsidRPr="004B502E">
        <w:rPr>
          <w:rFonts w:ascii="Times New Roman" w:hAnsi="Times New Roman" w:cs="Times New Roman"/>
          <w:sz w:val="24"/>
          <w:szCs w:val="24"/>
        </w:rPr>
        <w:t>Beck, Demirgüç-Kunt</w:t>
      </w:r>
      <w:r w:rsidR="00877A24">
        <w:rPr>
          <w:rFonts w:ascii="Times New Roman" w:hAnsi="Times New Roman" w:cs="Times New Roman"/>
          <w:sz w:val="24"/>
          <w:szCs w:val="24"/>
        </w:rPr>
        <w:t>,</w:t>
      </w:r>
      <w:r w:rsidR="00951213" w:rsidRPr="004B502E">
        <w:rPr>
          <w:rFonts w:ascii="Times New Roman" w:hAnsi="Times New Roman" w:cs="Times New Roman"/>
          <w:sz w:val="24"/>
          <w:szCs w:val="24"/>
        </w:rPr>
        <w:t xml:space="preserve"> &amp;</w:t>
      </w:r>
      <w:r w:rsidR="00BC315F" w:rsidRPr="004B502E">
        <w:rPr>
          <w:rFonts w:ascii="Times New Roman" w:hAnsi="Times New Roman" w:cs="Times New Roman"/>
          <w:sz w:val="24"/>
          <w:szCs w:val="24"/>
        </w:rPr>
        <w:t xml:space="preserve"> Merrouche</w:t>
      </w:r>
      <w:r w:rsidR="006C5F3C" w:rsidRPr="004B502E">
        <w:rPr>
          <w:rFonts w:ascii="Times New Roman" w:hAnsi="Times New Roman" w:cs="Times New Roman"/>
          <w:sz w:val="24"/>
          <w:szCs w:val="24"/>
        </w:rPr>
        <w:t xml:space="preserve">, 2010). </w:t>
      </w:r>
    </w:p>
    <w:p w:rsidR="00171B2C" w:rsidRPr="004B502E" w:rsidRDefault="00222467" w:rsidP="001E25C5">
      <w:pPr>
        <w:spacing w:line="480" w:lineRule="auto"/>
        <w:ind w:firstLine="720"/>
        <w:rPr>
          <w:rFonts w:ascii="Times New Roman" w:hAnsi="Times New Roman" w:cs="Times New Roman"/>
          <w:sz w:val="24"/>
          <w:szCs w:val="24"/>
        </w:rPr>
      </w:pPr>
      <w:r w:rsidRPr="004B502E">
        <w:rPr>
          <w:rFonts w:ascii="Times New Roman" w:hAnsi="Times New Roman" w:cs="Times New Roman"/>
          <w:sz w:val="24"/>
          <w:szCs w:val="24"/>
        </w:rPr>
        <w:t>O</w:t>
      </w:r>
      <w:r w:rsidR="006C5F3C" w:rsidRPr="004B502E">
        <w:rPr>
          <w:rFonts w:ascii="Times New Roman" w:hAnsi="Times New Roman" w:cs="Times New Roman"/>
          <w:sz w:val="24"/>
          <w:szCs w:val="24"/>
        </w:rPr>
        <w:t xml:space="preserve">pinions regarding the damage </w:t>
      </w:r>
      <w:r w:rsidR="00877A24">
        <w:rPr>
          <w:rFonts w:ascii="Times New Roman" w:hAnsi="Times New Roman" w:cs="Times New Roman"/>
          <w:sz w:val="24"/>
          <w:szCs w:val="24"/>
        </w:rPr>
        <w:t>to</w:t>
      </w:r>
      <w:r w:rsidR="006C5F3C" w:rsidRPr="004B502E">
        <w:rPr>
          <w:rFonts w:ascii="Times New Roman" w:hAnsi="Times New Roman" w:cs="Times New Roman"/>
          <w:sz w:val="24"/>
          <w:szCs w:val="24"/>
        </w:rPr>
        <w:t xml:space="preserve"> Islamic </w:t>
      </w:r>
      <w:r w:rsidR="00877A24">
        <w:rPr>
          <w:rFonts w:ascii="Times New Roman" w:hAnsi="Times New Roman" w:cs="Times New Roman"/>
          <w:sz w:val="24"/>
          <w:szCs w:val="24"/>
        </w:rPr>
        <w:t>f</w:t>
      </w:r>
      <w:r w:rsidR="006C5F3C" w:rsidRPr="004B502E">
        <w:rPr>
          <w:rFonts w:ascii="Times New Roman" w:hAnsi="Times New Roman" w:cs="Times New Roman"/>
          <w:sz w:val="24"/>
          <w:szCs w:val="24"/>
        </w:rPr>
        <w:t xml:space="preserve">inancial </w:t>
      </w:r>
      <w:r w:rsidR="00877A24">
        <w:rPr>
          <w:rFonts w:ascii="Times New Roman" w:hAnsi="Times New Roman" w:cs="Times New Roman"/>
          <w:sz w:val="24"/>
          <w:szCs w:val="24"/>
        </w:rPr>
        <w:t>i</w:t>
      </w:r>
      <w:r w:rsidR="00DC0077">
        <w:rPr>
          <w:rFonts w:ascii="Times New Roman" w:hAnsi="Times New Roman" w:cs="Times New Roman"/>
          <w:sz w:val="24"/>
          <w:szCs w:val="24"/>
        </w:rPr>
        <w:t>nstitutions during this financial</w:t>
      </w:r>
      <w:r w:rsidR="006C5F3C" w:rsidRPr="004B502E">
        <w:rPr>
          <w:rFonts w:ascii="Times New Roman" w:hAnsi="Times New Roman" w:cs="Times New Roman"/>
          <w:sz w:val="24"/>
          <w:szCs w:val="24"/>
        </w:rPr>
        <w:t xml:space="preserve"> crisis differ from </w:t>
      </w:r>
      <w:r w:rsidR="00877A24">
        <w:rPr>
          <w:rFonts w:ascii="Times New Roman" w:hAnsi="Times New Roman" w:cs="Times New Roman"/>
          <w:sz w:val="24"/>
          <w:szCs w:val="24"/>
        </w:rPr>
        <w:t>one</w:t>
      </w:r>
      <w:r w:rsidR="00877A24" w:rsidRPr="004B502E">
        <w:rPr>
          <w:rFonts w:ascii="Times New Roman" w:hAnsi="Times New Roman" w:cs="Times New Roman"/>
          <w:sz w:val="24"/>
          <w:szCs w:val="24"/>
        </w:rPr>
        <w:t xml:space="preserve"> </w:t>
      </w:r>
      <w:r w:rsidR="006C5F3C" w:rsidRPr="004B502E">
        <w:rPr>
          <w:rFonts w:ascii="Times New Roman" w:hAnsi="Times New Roman" w:cs="Times New Roman"/>
          <w:sz w:val="24"/>
          <w:szCs w:val="24"/>
        </w:rPr>
        <w:t>other. For instance, Chapra (2008)</w:t>
      </w:r>
      <w:r w:rsidR="008B37B5" w:rsidRPr="004B502E">
        <w:rPr>
          <w:rFonts w:ascii="Times New Roman" w:hAnsi="Times New Roman" w:cs="Times New Roman"/>
          <w:sz w:val="24"/>
          <w:szCs w:val="24"/>
        </w:rPr>
        <w:t xml:space="preserve"> and </w:t>
      </w:r>
      <w:r w:rsidR="006C5F3C" w:rsidRPr="004B502E">
        <w:rPr>
          <w:rFonts w:ascii="Times New Roman" w:hAnsi="Times New Roman" w:cs="Times New Roman"/>
          <w:sz w:val="24"/>
          <w:szCs w:val="24"/>
        </w:rPr>
        <w:t>Miniaoui and Gohou (2011) state</w:t>
      </w:r>
      <w:r w:rsidR="003746CE" w:rsidRPr="004B502E">
        <w:rPr>
          <w:rFonts w:ascii="Times New Roman" w:hAnsi="Times New Roman" w:cs="Times New Roman"/>
          <w:sz w:val="24"/>
          <w:szCs w:val="24"/>
        </w:rPr>
        <w:t>d</w:t>
      </w:r>
      <w:r w:rsidR="006C5F3C" w:rsidRPr="004B502E">
        <w:rPr>
          <w:rFonts w:ascii="Times New Roman" w:hAnsi="Times New Roman" w:cs="Times New Roman"/>
          <w:sz w:val="24"/>
          <w:szCs w:val="24"/>
        </w:rPr>
        <w:t xml:space="preserve"> that the Isla</w:t>
      </w:r>
      <w:r w:rsidR="003746CE" w:rsidRPr="004B502E">
        <w:rPr>
          <w:rFonts w:ascii="Times New Roman" w:hAnsi="Times New Roman" w:cs="Times New Roman"/>
          <w:sz w:val="24"/>
          <w:szCs w:val="24"/>
        </w:rPr>
        <w:t xml:space="preserve">mic </w:t>
      </w:r>
      <w:r w:rsidR="00877A24">
        <w:rPr>
          <w:rFonts w:ascii="Times New Roman" w:hAnsi="Times New Roman" w:cs="Times New Roman"/>
          <w:sz w:val="24"/>
          <w:szCs w:val="24"/>
        </w:rPr>
        <w:t>b</w:t>
      </w:r>
      <w:r w:rsidR="003746CE" w:rsidRPr="004B502E">
        <w:rPr>
          <w:rFonts w:ascii="Times New Roman" w:hAnsi="Times New Roman" w:cs="Times New Roman"/>
          <w:sz w:val="24"/>
          <w:szCs w:val="24"/>
        </w:rPr>
        <w:t>anks had</w:t>
      </w:r>
      <w:r w:rsidR="006C5F3C" w:rsidRPr="004B502E">
        <w:rPr>
          <w:rFonts w:ascii="Times New Roman" w:hAnsi="Times New Roman" w:cs="Times New Roman"/>
          <w:sz w:val="24"/>
          <w:szCs w:val="24"/>
        </w:rPr>
        <w:t xml:space="preserve"> not been affected by the</w:t>
      </w:r>
      <w:r w:rsidR="0035262D">
        <w:rPr>
          <w:rFonts w:ascii="Times New Roman" w:hAnsi="Times New Roman" w:cs="Times New Roman"/>
          <w:sz w:val="24"/>
          <w:szCs w:val="24"/>
        </w:rPr>
        <w:t xml:space="preserve"> financial crisis of 2008</w:t>
      </w:r>
      <w:r w:rsidR="006C5F3C" w:rsidRPr="004B502E">
        <w:rPr>
          <w:rFonts w:ascii="Times New Roman" w:hAnsi="Times New Roman" w:cs="Times New Roman"/>
          <w:sz w:val="24"/>
          <w:szCs w:val="24"/>
        </w:rPr>
        <w:t>. Parashar and Venkatesh (2010) argue</w:t>
      </w:r>
      <w:r w:rsidR="003746CE" w:rsidRPr="004B502E">
        <w:rPr>
          <w:rFonts w:ascii="Times New Roman" w:hAnsi="Times New Roman" w:cs="Times New Roman"/>
          <w:sz w:val="24"/>
          <w:szCs w:val="24"/>
        </w:rPr>
        <w:t>d</w:t>
      </w:r>
      <w:r w:rsidR="006C5F3C" w:rsidRPr="004B502E">
        <w:rPr>
          <w:rFonts w:ascii="Times New Roman" w:hAnsi="Times New Roman" w:cs="Times New Roman"/>
          <w:sz w:val="24"/>
          <w:szCs w:val="24"/>
        </w:rPr>
        <w:t xml:space="preserve"> that Islamic </w:t>
      </w:r>
      <w:r w:rsidR="00381C14">
        <w:rPr>
          <w:rFonts w:ascii="Times New Roman" w:hAnsi="Times New Roman" w:cs="Times New Roman"/>
          <w:sz w:val="24"/>
          <w:szCs w:val="24"/>
        </w:rPr>
        <w:t>b</w:t>
      </w:r>
      <w:r w:rsidR="006C5F3C" w:rsidRPr="004B502E">
        <w:rPr>
          <w:rFonts w:ascii="Times New Roman" w:hAnsi="Times New Roman" w:cs="Times New Roman"/>
          <w:sz w:val="24"/>
          <w:szCs w:val="24"/>
        </w:rPr>
        <w:t>anks ha</w:t>
      </w:r>
      <w:r w:rsidR="00381C14">
        <w:rPr>
          <w:rFonts w:ascii="Times New Roman" w:hAnsi="Times New Roman" w:cs="Times New Roman"/>
          <w:sz w:val="24"/>
          <w:szCs w:val="24"/>
        </w:rPr>
        <w:t>d</w:t>
      </w:r>
      <w:r w:rsidR="006C5F3C" w:rsidRPr="004B502E">
        <w:rPr>
          <w:rFonts w:ascii="Times New Roman" w:hAnsi="Times New Roman" w:cs="Times New Roman"/>
          <w:sz w:val="24"/>
          <w:szCs w:val="24"/>
        </w:rPr>
        <w:t xml:space="preserve"> been affected by the financial recession in terms of capital ratio, leverage</w:t>
      </w:r>
      <w:r w:rsidR="008B37B5" w:rsidRPr="004B502E">
        <w:rPr>
          <w:rFonts w:ascii="Times New Roman" w:hAnsi="Times New Roman" w:cs="Times New Roman"/>
          <w:sz w:val="24"/>
          <w:szCs w:val="24"/>
        </w:rPr>
        <w:t>,</w:t>
      </w:r>
      <w:r w:rsidR="006C5F3C" w:rsidRPr="004B502E">
        <w:rPr>
          <w:rFonts w:ascii="Times New Roman" w:hAnsi="Times New Roman" w:cs="Times New Roman"/>
          <w:sz w:val="24"/>
          <w:szCs w:val="24"/>
        </w:rPr>
        <w:t xml:space="preserve"> and return on average assets. </w:t>
      </w:r>
      <w:r w:rsidR="00381C14">
        <w:rPr>
          <w:rFonts w:ascii="Times New Roman" w:hAnsi="Times New Roman" w:cs="Times New Roman"/>
          <w:sz w:val="24"/>
          <w:szCs w:val="24"/>
        </w:rPr>
        <w:t>O</w:t>
      </w:r>
      <w:r w:rsidR="006C5F3C" w:rsidRPr="004B502E">
        <w:rPr>
          <w:rFonts w:ascii="Times New Roman" w:hAnsi="Times New Roman" w:cs="Times New Roman"/>
          <w:sz w:val="24"/>
          <w:szCs w:val="24"/>
        </w:rPr>
        <w:t>ther studies</w:t>
      </w:r>
      <w:r w:rsidR="00381C14">
        <w:rPr>
          <w:rFonts w:ascii="Times New Roman" w:hAnsi="Times New Roman" w:cs="Times New Roman"/>
          <w:sz w:val="24"/>
          <w:szCs w:val="24"/>
        </w:rPr>
        <w:t xml:space="preserve"> (e.g.,</w:t>
      </w:r>
      <w:r w:rsidR="006C5F3C" w:rsidRPr="004B502E">
        <w:rPr>
          <w:rFonts w:ascii="Times New Roman" w:hAnsi="Times New Roman" w:cs="Times New Roman"/>
          <w:sz w:val="24"/>
          <w:szCs w:val="24"/>
        </w:rPr>
        <w:t xml:space="preserve"> Beck et al.</w:t>
      </w:r>
      <w:r w:rsidR="00381C14">
        <w:rPr>
          <w:rFonts w:ascii="Times New Roman" w:hAnsi="Times New Roman" w:cs="Times New Roman"/>
          <w:sz w:val="24"/>
          <w:szCs w:val="24"/>
        </w:rPr>
        <w:t xml:space="preserve">, </w:t>
      </w:r>
      <w:r w:rsidR="006C5F3C" w:rsidRPr="004B502E">
        <w:rPr>
          <w:rFonts w:ascii="Times New Roman" w:hAnsi="Times New Roman" w:cs="Times New Roman"/>
          <w:sz w:val="24"/>
          <w:szCs w:val="24"/>
        </w:rPr>
        <w:t xml:space="preserve">2010) </w:t>
      </w:r>
      <w:r w:rsidR="00381C14">
        <w:rPr>
          <w:rFonts w:ascii="Times New Roman" w:hAnsi="Times New Roman" w:cs="Times New Roman"/>
          <w:sz w:val="24"/>
          <w:szCs w:val="24"/>
        </w:rPr>
        <w:t>found</w:t>
      </w:r>
      <w:r w:rsidR="006C5F3C" w:rsidRPr="004B502E">
        <w:rPr>
          <w:rFonts w:ascii="Times New Roman" w:hAnsi="Times New Roman" w:cs="Times New Roman"/>
          <w:sz w:val="24"/>
          <w:szCs w:val="24"/>
        </w:rPr>
        <w:t xml:space="preserve"> no significant differences exist</w:t>
      </w:r>
      <w:r w:rsidR="00381C14">
        <w:rPr>
          <w:rFonts w:ascii="Times New Roman" w:hAnsi="Times New Roman" w:cs="Times New Roman"/>
          <w:sz w:val="24"/>
          <w:szCs w:val="24"/>
        </w:rPr>
        <w:t>ed</w:t>
      </w:r>
      <w:r w:rsidR="006C5F3C" w:rsidRPr="004B502E">
        <w:rPr>
          <w:rFonts w:ascii="Times New Roman" w:hAnsi="Times New Roman" w:cs="Times New Roman"/>
          <w:sz w:val="24"/>
          <w:szCs w:val="24"/>
        </w:rPr>
        <w:t xml:space="preserve"> between the performance of Islamic and conventional banks during the </w:t>
      </w:r>
      <w:r w:rsidR="00381C14">
        <w:rPr>
          <w:rFonts w:ascii="Times New Roman" w:hAnsi="Times New Roman" w:cs="Times New Roman"/>
          <w:sz w:val="24"/>
          <w:szCs w:val="24"/>
        </w:rPr>
        <w:t>2008</w:t>
      </w:r>
      <w:r w:rsidR="00381C14" w:rsidRPr="004B502E">
        <w:rPr>
          <w:rFonts w:ascii="Times New Roman" w:hAnsi="Times New Roman" w:cs="Times New Roman"/>
          <w:sz w:val="24"/>
          <w:szCs w:val="24"/>
        </w:rPr>
        <w:t xml:space="preserve"> </w:t>
      </w:r>
      <w:r w:rsidR="00DC0077">
        <w:rPr>
          <w:rFonts w:ascii="Times New Roman" w:hAnsi="Times New Roman" w:cs="Times New Roman"/>
          <w:sz w:val="24"/>
          <w:szCs w:val="24"/>
        </w:rPr>
        <w:t>financial</w:t>
      </w:r>
      <w:r w:rsidR="006C5F3C" w:rsidRPr="004B502E">
        <w:rPr>
          <w:rFonts w:ascii="Times New Roman" w:hAnsi="Times New Roman" w:cs="Times New Roman"/>
          <w:sz w:val="24"/>
          <w:szCs w:val="24"/>
        </w:rPr>
        <w:t xml:space="preserve"> crisis, except </w:t>
      </w:r>
      <w:r w:rsidR="00381C14">
        <w:rPr>
          <w:rFonts w:ascii="Times New Roman" w:hAnsi="Times New Roman" w:cs="Times New Roman"/>
          <w:sz w:val="24"/>
          <w:szCs w:val="24"/>
        </w:rPr>
        <w:t xml:space="preserve">that </w:t>
      </w:r>
      <w:r w:rsidR="00852351">
        <w:rPr>
          <w:rFonts w:ascii="Times New Roman" w:hAnsi="Times New Roman" w:cs="Times New Roman"/>
          <w:sz w:val="24"/>
          <w:szCs w:val="24"/>
        </w:rPr>
        <w:t>Islamic banks</w:t>
      </w:r>
      <w:r w:rsidR="006C5F3C" w:rsidRPr="004B502E">
        <w:rPr>
          <w:rFonts w:ascii="Times New Roman" w:hAnsi="Times New Roman" w:cs="Times New Roman"/>
          <w:sz w:val="24"/>
          <w:szCs w:val="24"/>
        </w:rPr>
        <w:t xml:space="preserve"> increased their liquidity holdings. </w:t>
      </w:r>
      <w:r w:rsidR="006A2D9A" w:rsidRPr="004B502E">
        <w:rPr>
          <w:rFonts w:ascii="Times New Roman" w:hAnsi="Times New Roman" w:cs="Times New Roman"/>
          <w:sz w:val="24"/>
          <w:szCs w:val="24"/>
        </w:rPr>
        <w:t xml:space="preserve">Above that, </w:t>
      </w:r>
      <w:r w:rsidR="006A2D9A" w:rsidRPr="004B502E">
        <w:rPr>
          <w:rFonts w:ascii="Times New Roman" w:hAnsi="Times New Roman" w:cs="Times New Roman"/>
          <w:color w:val="000000"/>
          <w:sz w:val="24"/>
          <w:szCs w:val="24"/>
        </w:rPr>
        <w:t xml:space="preserve">Lahem </w:t>
      </w:r>
      <w:r w:rsidR="009065DF" w:rsidRPr="004B502E">
        <w:rPr>
          <w:rFonts w:ascii="Times New Roman" w:hAnsi="Times New Roman" w:cs="Times New Roman"/>
          <w:color w:val="000000"/>
          <w:sz w:val="24"/>
          <w:szCs w:val="24"/>
        </w:rPr>
        <w:t>considered</w:t>
      </w:r>
      <w:r w:rsidR="006A2D9A" w:rsidRPr="004B502E">
        <w:rPr>
          <w:rFonts w:ascii="Times New Roman" w:hAnsi="Times New Roman" w:cs="Times New Roman"/>
          <w:color w:val="000000"/>
          <w:sz w:val="24"/>
          <w:szCs w:val="24"/>
        </w:rPr>
        <w:t xml:space="preserve"> the </w:t>
      </w:r>
      <w:r w:rsidR="00DC0077">
        <w:rPr>
          <w:rFonts w:ascii="Times New Roman" w:hAnsi="Times New Roman" w:cs="Times New Roman"/>
          <w:color w:val="000000"/>
          <w:sz w:val="24"/>
          <w:szCs w:val="24"/>
        </w:rPr>
        <w:t>financial crisis</w:t>
      </w:r>
      <w:r w:rsidR="006A2D9A" w:rsidRPr="004B502E">
        <w:rPr>
          <w:rFonts w:ascii="Times New Roman" w:hAnsi="Times New Roman" w:cs="Times New Roman"/>
          <w:color w:val="000000"/>
          <w:sz w:val="24"/>
          <w:szCs w:val="24"/>
        </w:rPr>
        <w:t xml:space="preserve"> of 2008 as a great opportunity for </w:t>
      </w:r>
      <w:r w:rsidR="00852351">
        <w:rPr>
          <w:rFonts w:ascii="Times New Roman" w:hAnsi="Times New Roman" w:cs="Times New Roman"/>
          <w:color w:val="000000"/>
          <w:sz w:val="24"/>
          <w:szCs w:val="24"/>
        </w:rPr>
        <w:t>Islamic banks</w:t>
      </w:r>
      <w:r w:rsidR="006A2D9A" w:rsidRPr="004B502E">
        <w:rPr>
          <w:rFonts w:ascii="Times New Roman" w:hAnsi="Times New Roman" w:cs="Times New Roman"/>
          <w:color w:val="000000"/>
          <w:sz w:val="24"/>
          <w:szCs w:val="24"/>
        </w:rPr>
        <w:t xml:space="preserve"> to show their stability and superiority over conventional banks (as cited in </w:t>
      </w:r>
      <w:r w:rsidR="00951213" w:rsidRPr="004B502E">
        <w:rPr>
          <w:rFonts w:ascii="Times New Roman" w:hAnsi="Times New Roman" w:cs="Times New Roman"/>
          <w:color w:val="000000"/>
          <w:sz w:val="24"/>
          <w:szCs w:val="24"/>
        </w:rPr>
        <w:t>Wasiuzzaman &amp; Tarmizi, 2010</w:t>
      </w:r>
      <w:r w:rsidR="006A2D9A" w:rsidRPr="004B502E">
        <w:rPr>
          <w:rFonts w:ascii="Times New Roman" w:hAnsi="Times New Roman" w:cs="Times New Roman"/>
          <w:color w:val="000000"/>
          <w:sz w:val="24"/>
          <w:szCs w:val="24"/>
        </w:rPr>
        <w:t xml:space="preserve">). </w:t>
      </w:r>
      <w:r w:rsidRPr="004B502E">
        <w:rPr>
          <w:rFonts w:ascii="Times New Roman" w:hAnsi="Times New Roman" w:cs="Times New Roman"/>
          <w:sz w:val="24"/>
          <w:szCs w:val="24"/>
        </w:rPr>
        <w:t>Reason</w:t>
      </w:r>
      <w:r w:rsidR="008B37B5" w:rsidRPr="004B502E">
        <w:rPr>
          <w:rFonts w:ascii="Times New Roman" w:hAnsi="Times New Roman" w:cs="Times New Roman"/>
          <w:sz w:val="24"/>
          <w:szCs w:val="24"/>
        </w:rPr>
        <w:t>s</w:t>
      </w:r>
      <w:r w:rsidRPr="004B502E">
        <w:rPr>
          <w:rFonts w:ascii="Times New Roman" w:hAnsi="Times New Roman" w:cs="Times New Roman"/>
          <w:sz w:val="24"/>
          <w:szCs w:val="24"/>
        </w:rPr>
        <w:t xml:space="preserve"> for considering </w:t>
      </w:r>
      <w:r w:rsidR="00852351">
        <w:rPr>
          <w:rFonts w:ascii="Times New Roman" w:hAnsi="Times New Roman" w:cs="Times New Roman"/>
          <w:sz w:val="24"/>
          <w:szCs w:val="24"/>
        </w:rPr>
        <w:t>Islamic banks</w:t>
      </w:r>
      <w:r w:rsidRPr="004B502E">
        <w:rPr>
          <w:rFonts w:ascii="Times New Roman" w:hAnsi="Times New Roman" w:cs="Times New Roman"/>
          <w:sz w:val="24"/>
          <w:szCs w:val="24"/>
        </w:rPr>
        <w:t xml:space="preserve"> </w:t>
      </w:r>
      <w:r w:rsidR="006A2D9A" w:rsidRPr="004B502E">
        <w:rPr>
          <w:rFonts w:ascii="Times New Roman" w:hAnsi="Times New Roman" w:cs="Times New Roman"/>
          <w:sz w:val="24"/>
          <w:szCs w:val="24"/>
        </w:rPr>
        <w:t xml:space="preserve">as </w:t>
      </w:r>
      <w:r w:rsidRPr="004B502E">
        <w:rPr>
          <w:rFonts w:ascii="Times New Roman" w:hAnsi="Times New Roman" w:cs="Times New Roman"/>
          <w:sz w:val="24"/>
          <w:szCs w:val="24"/>
        </w:rPr>
        <w:t xml:space="preserve">more resistant to the economic recessions and downturns </w:t>
      </w:r>
      <w:r w:rsidR="008B37B5" w:rsidRPr="004B502E">
        <w:rPr>
          <w:rFonts w:ascii="Times New Roman" w:hAnsi="Times New Roman" w:cs="Times New Roman"/>
          <w:sz w:val="24"/>
          <w:szCs w:val="24"/>
        </w:rPr>
        <w:t xml:space="preserve">are </w:t>
      </w:r>
      <w:r w:rsidRPr="004B502E">
        <w:rPr>
          <w:rFonts w:ascii="Times New Roman" w:hAnsi="Times New Roman" w:cs="Times New Roman"/>
          <w:sz w:val="24"/>
          <w:szCs w:val="24"/>
        </w:rPr>
        <w:t xml:space="preserve">associated with </w:t>
      </w:r>
      <w:r w:rsidR="006A2D9A" w:rsidRPr="004B502E">
        <w:rPr>
          <w:rFonts w:ascii="Times New Roman" w:hAnsi="Times New Roman" w:cs="Times New Roman"/>
          <w:sz w:val="24"/>
          <w:szCs w:val="24"/>
        </w:rPr>
        <w:t xml:space="preserve">their </w:t>
      </w:r>
      <w:r w:rsidR="008B37B5" w:rsidRPr="004B502E">
        <w:rPr>
          <w:rFonts w:ascii="Times New Roman" w:hAnsi="Times New Roman" w:cs="Times New Roman"/>
          <w:sz w:val="24"/>
          <w:szCs w:val="24"/>
        </w:rPr>
        <w:t xml:space="preserve">lack of </w:t>
      </w:r>
      <w:r w:rsidRPr="004B502E">
        <w:rPr>
          <w:rFonts w:ascii="Times New Roman" w:hAnsi="Times New Roman" w:cs="Times New Roman"/>
          <w:sz w:val="24"/>
          <w:szCs w:val="24"/>
        </w:rPr>
        <w:t>engagem</w:t>
      </w:r>
      <w:r w:rsidR="005A2A0F" w:rsidRPr="004B502E">
        <w:rPr>
          <w:rFonts w:ascii="Times New Roman" w:hAnsi="Times New Roman" w:cs="Times New Roman"/>
          <w:sz w:val="24"/>
          <w:szCs w:val="24"/>
        </w:rPr>
        <w:t>ent in risk</w:t>
      </w:r>
      <w:r w:rsidR="009065DF" w:rsidRPr="004B502E">
        <w:rPr>
          <w:rFonts w:ascii="Times New Roman" w:hAnsi="Times New Roman" w:cs="Times New Roman"/>
          <w:sz w:val="24"/>
          <w:szCs w:val="24"/>
        </w:rPr>
        <w:t>y</w:t>
      </w:r>
      <w:r w:rsidR="005A2A0F" w:rsidRPr="004B502E">
        <w:rPr>
          <w:rFonts w:ascii="Times New Roman" w:hAnsi="Times New Roman" w:cs="Times New Roman"/>
          <w:sz w:val="24"/>
          <w:szCs w:val="24"/>
        </w:rPr>
        <w:t xml:space="preserve"> trading activities </w:t>
      </w:r>
      <w:r w:rsidRPr="004B502E">
        <w:rPr>
          <w:rFonts w:ascii="Times New Roman" w:hAnsi="Times New Roman" w:cs="Times New Roman"/>
          <w:sz w:val="24"/>
          <w:szCs w:val="24"/>
        </w:rPr>
        <w:t>(B</w:t>
      </w:r>
      <w:r w:rsidR="006C5F3C" w:rsidRPr="004B502E">
        <w:rPr>
          <w:rFonts w:ascii="Times New Roman" w:hAnsi="Times New Roman" w:cs="Times New Roman"/>
          <w:sz w:val="24"/>
          <w:szCs w:val="24"/>
        </w:rPr>
        <w:t>eck et al.</w:t>
      </w:r>
      <w:r w:rsidRPr="004B502E">
        <w:rPr>
          <w:rFonts w:ascii="Times New Roman" w:hAnsi="Times New Roman" w:cs="Times New Roman"/>
          <w:sz w:val="24"/>
          <w:szCs w:val="24"/>
        </w:rPr>
        <w:t xml:space="preserve">, </w:t>
      </w:r>
      <w:r w:rsidR="006C5F3C" w:rsidRPr="004B502E">
        <w:rPr>
          <w:rFonts w:ascii="Times New Roman" w:hAnsi="Times New Roman" w:cs="Times New Roman"/>
          <w:sz w:val="24"/>
          <w:szCs w:val="24"/>
        </w:rPr>
        <w:t>2010</w:t>
      </w:r>
      <w:r w:rsidR="00C42EC0" w:rsidRPr="004B502E">
        <w:rPr>
          <w:rFonts w:ascii="Times New Roman" w:hAnsi="Times New Roman" w:cs="Times New Roman"/>
          <w:sz w:val="24"/>
          <w:szCs w:val="24"/>
        </w:rPr>
        <w:t xml:space="preserve">; </w:t>
      </w:r>
      <w:r w:rsidR="00075149" w:rsidRPr="004B502E">
        <w:rPr>
          <w:rFonts w:ascii="Times New Roman" w:hAnsi="Times New Roman" w:cs="Times New Roman"/>
          <w:sz w:val="24"/>
          <w:szCs w:val="24"/>
        </w:rPr>
        <w:t xml:space="preserve">Chazi &amp; Syed, 2010; </w:t>
      </w:r>
      <w:r w:rsidR="00951213" w:rsidRPr="004B502E">
        <w:rPr>
          <w:rFonts w:ascii="Times New Roman" w:hAnsi="Times New Roman" w:cs="Times New Roman"/>
          <w:sz w:val="24"/>
          <w:szCs w:val="24"/>
        </w:rPr>
        <w:t>Kassim &amp; Majid, 2010</w:t>
      </w:r>
      <w:r w:rsidR="00171B2C" w:rsidRPr="004B502E">
        <w:rPr>
          <w:rFonts w:ascii="Times New Roman" w:hAnsi="Times New Roman" w:cs="Times New Roman"/>
          <w:sz w:val="24"/>
          <w:szCs w:val="24"/>
        </w:rPr>
        <w:t>)</w:t>
      </w:r>
      <w:r w:rsidR="008B37B5" w:rsidRPr="004B502E">
        <w:rPr>
          <w:rFonts w:ascii="Times New Roman" w:hAnsi="Times New Roman" w:cs="Times New Roman"/>
          <w:sz w:val="24"/>
          <w:szCs w:val="24"/>
        </w:rPr>
        <w:t>.</w:t>
      </w:r>
    </w:p>
    <w:p w:rsidR="00217A14" w:rsidRPr="004B502E" w:rsidRDefault="008B37B5" w:rsidP="001E25C5">
      <w:pPr>
        <w:spacing w:line="480" w:lineRule="auto"/>
        <w:ind w:firstLine="720"/>
        <w:rPr>
          <w:rFonts w:ascii="Times New Roman" w:hAnsi="Times New Roman" w:cs="Times New Roman"/>
          <w:sz w:val="24"/>
          <w:szCs w:val="24"/>
        </w:rPr>
      </w:pPr>
      <w:r w:rsidRPr="004B502E">
        <w:rPr>
          <w:rFonts w:ascii="Times New Roman" w:hAnsi="Times New Roman" w:cs="Times New Roman"/>
          <w:sz w:val="24"/>
          <w:szCs w:val="24"/>
        </w:rPr>
        <w:t>B</w:t>
      </w:r>
      <w:r w:rsidR="009B417D" w:rsidRPr="004B502E">
        <w:rPr>
          <w:rFonts w:ascii="Times New Roman" w:hAnsi="Times New Roman" w:cs="Times New Roman"/>
          <w:sz w:val="24"/>
          <w:szCs w:val="24"/>
        </w:rPr>
        <w:t xml:space="preserve">y </w:t>
      </w:r>
      <w:r w:rsidRPr="004B502E">
        <w:rPr>
          <w:rFonts w:ascii="Times New Roman" w:hAnsi="Times New Roman" w:cs="Times New Roman"/>
          <w:sz w:val="24"/>
          <w:szCs w:val="24"/>
        </w:rPr>
        <w:t xml:space="preserve">analyzing </w:t>
      </w:r>
      <w:r w:rsidR="009B417D" w:rsidRPr="004B502E">
        <w:rPr>
          <w:rFonts w:ascii="Times New Roman" w:hAnsi="Times New Roman" w:cs="Times New Roman"/>
          <w:sz w:val="24"/>
          <w:szCs w:val="24"/>
        </w:rPr>
        <w:t xml:space="preserve">data obtained from conventional </w:t>
      </w:r>
      <w:r w:rsidR="009065DF" w:rsidRPr="004B502E">
        <w:rPr>
          <w:rFonts w:ascii="Times New Roman" w:hAnsi="Times New Roman" w:cs="Times New Roman"/>
          <w:sz w:val="24"/>
          <w:szCs w:val="24"/>
        </w:rPr>
        <w:t xml:space="preserve">and </w:t>
      </w:r>
      <w:r w:rsidR="00852351">
        <w:rPr>
          <w:rFonts w:ascii="Times New Roman" w:hAnsi="Times New Roman" w:cs="Times New Roman"/>
          <w:sz w:val="24"/>
          <w:szCs w:val="24"/>
        </w:rPr>
        <w:t>Islamic banks</w:t>
      </w:r>
      <w:r w:rsidR="009065DF" w:rsidRPr="004B502E">
        <w:rPr>
          <w:rFonts w:ascii="Times New Roman" w:hAnsi="Times New Roman" w:cs="Times New Roman"/>
          <w:sz w:val="24"/>
          <w:szCs w:val="24"/>
        </w:rPr>
        <w:t xml:space="preserve"> </w:t>
      </w:r>
      <w:r w:rsidR="00852351">
        <w:rPr>
          <w:rFonts w:ascii="Times New Roman" w:hAnsi="Times New Roman" w:cs="Times New Roman"/>
          <w:sz w:val="24"/>
          <w:szCs w:val="24"/>
        </w:rPr>
        <w:t>in</w:t>
      </w:r>
      <w:r w:rsidR="00852351" w:rsidRPr="004B502E">
        <w:rPr>
          <w:rFonts w:ascii="Times New Roman" w:hAnsi="Times New Roman" w:cs="Times New Roman"/>
          <w:sz w:val="24"/>
          <w:szCs w:val="24"/>
        </w:rPr>
        <w:t xml:space="preserve"> </w:t>
      </w:r>
      <w:r w:rsidR="009065DF" w:rsidRPr="004B502E">
        <w:rPr>
          <w:rFonts w:ascii="Times New Roman" w:hAnsi="Times New Roman" w:cs="Times New Roman"/>
          <w:sz w:val="24"/>
          <w:szCs w:val="24"/>
        </w:rPr>
        <w:t xml:space="preserve">Bahrain, </w:t>
      </w:r>
      <w:r w:rsidRPr="004B502E">
        <w:rPr>
          <w:rFonts w:ascii="Times New Roman" w:hAnsi="Times New Roman" w:cs="Times New Roman"/>
          <w:sz w:val="24"/>
          <w:szCs w:val="24"/>
        </w:rPr>
        <w:t xml:space="preserve">Hidayat and Abduh (2012) </w:t>
      </w:r>
      <w:r w:rsidR="009065DF" w:rsidRPr="004B502E">
        <w:rPr>
          <w:rFonts w:ascii="Times New Roman" w:hAnsi="Times New Roman" w:cs="Times New Roman"/>
          <w:sz w:val="24"/>
          <w:szCs w:val="24"/>
        </w:rPr>
        <w:t>ca</w:t>
      </w:r>
      <w:r w:rsidR="009B417D" w:rsidRPr="004B502E">
        <w:rPr>
          <w:rFonts w:ascii="Times New Roman" w:hAnsi="Times New Roman" w:cs="Times New Roman"/>
          <w:sz w:val="24"/>
          <w:szCs w:val="24"/>
        </w:rPr>
        <w:t xml:space="preserve">me to the conclusion that </w:t>
      </w:r>
      <w:r w:rsidR="00852351">
        <w:rPr>
          <w:rFonts w:ascii="Times New Roman" w:hAnsi="Times New Roman" w:cs="Times New Roman"/>
          <w:sz w:val="24"/>
          <w:szCs w:val="24"/>
        </w:rPr>
        <w:t>Islamic banks</w:t>
      </w:r>
      <w:r w:rsidR="00071C74" w:rsidRPr="004B502E">
        <w:rPr>
          <w:rFonts w:ascii="Times New Roman" w:hAnsi="Times New Roman" w:cs="Times New Roman"/>
          <w:sz w:val="24"/>
          <w:szCs w:val="24"/>
        </w:rPr>
        <w:t xml:space="preserve"> </w:t>
      </w:r>
      <w:r w:rsidR="00852351">
        <w:rPr>
          <w:rFonts w:ascii="Times New Roman" w:hAnsi="Times New Roman" w:cs="Times New Roman"/>
          <w:sz w:val="24"/>
          <w:szCs w:val="24"/>
        </w:rPr>
        <w:t>in</w:t>
      </w:r>
      <w:r w:rsidR="00852351" w:rsidRPr="004B502E">
        <w:rPr>
          <w:rFonts w:ascii="Times New Roman" w:hAnsi="Times New Roman" w:cs="Times New Roman"/>
          <w:sz w:val="24"/>
          <w:szCs w:val="24"/>
        </w:rPr>
        <w:t xml:space="preserve"> </w:t>
      </w:r>
      <w:r w:rsidR="00071C74" w:rsidRPr="004B502E">
        <w:rPr>
          <w:rFonts w:ascii="Times New Roman" w:hAnsi="Times New Roman" w:cs="Times New Roman"/>
          <w:sz w:val="24"/>
          <w:szCs w:val="24"/>
        </w:rPr>
        <w:t xml:space="preserve">that country </w:t>
      </w:r>
      <w:r w:rsidR="00852351">
        <w:rPr>
          <w:rFonts w:ascii="Times New Roman" w:hAnsi="Times New Roman" w:cs="Times New Roman"/>
          <w:sz w:val="24"/>
          <w:szCs w:val="24"/>
        </w:rPr>
        <w:t>were</w:t>
      </w:r>
      <w:r w:rsidR="00852351" w:rsidRPr="004B502E">
        <w:rPr>
          <w:rFonts w:ascii="Times New Roman" w:hAnsi="Times New Roman" w:cs="Times New Roman"/>
          <w:sz w:val="24"/>
          <w:szCs w:val="24"/>
        </w:rPr>
        <w:t xml:space="preserve"> </w:t>
      </w:r>
      <w:r w:rsidR="00071C74" w:rsidRPr="004B502E">
        <w:rPr>
          <w:rFonts w:ascii="Times New Roman" w:hAnsi="Times New Roman" w:cs="Times New Roman"/>
          <w:sz w:val="24"/>
          <w:szCs w:val="24"/>
        </w:rPr>
        <w:t xml:space="preserve">not significantly affected during the economic </w:t>
      </w:r>
      <w:r w:rsidRPr="004B502E">
        <w:rPr>
          <w:rFonts w:ascii="Times New Roman" w:hAnsi="Times New Roman" w:cs="Times New Roman"/>
          <w:sz w:val="24"/>
          <w:szCs w:val="24"/>
        </w:rPr>
        <w:t>recession;</w:t>
      </w:r>
      <w:r w:rsidR="00171B2C" w:rsidRPr="004B502E">
        <w:rPr>
          <w:rFonts w:ascii="Times New Roman" w:hAnsi="Times New Roman" w:cs="Times New Roman"/>
          <w:sz w:val="24"/>
          <w:szCs w:val="24"/>
        </w:rPr>
        <w:t xml:space="preserve"> however, </w:t>
      </w:r>
      <w:r w:rsidR="009B417D" w:rsidRPr="004B502E">
        <w:rPr>
          <w:rFonts w:ascii="Times New Roman" w:hAnsi="Times New Roman" w:cs="Times New Roman"/>
          <w:sz w:val="24"/>
          <w:szCs w:val="24"/>
        </w:rPr>
        <w:t>they h</w:t>
      </w:r>
      <w:r w:rsidR="00071C74" w:rsidRPr="004B502E">
        <w:rPr>
          <w:rFonts w:ascii="Times New Roman" w:hAnsi="Times New Roman" w:cs="Times New Roman"/>
          <w:sz w:val="24"/>
          <w:szCs w:val="24"/>
        </w:rPr>
        <w:t xml:space="preserve">ave been </w:t>
      </w:r>
      <w:r w:rsidR="0035262D">
        <w:rPr>
          <w:rFonts w:ascii="Times New Roman" w:hAnsi="Times New Roman" w:cs="Times New Roman"/>
          <w:sz w:val="24"/>
          <w:szCs w:val="24"/>
        </w:rPr>
        <w:t xml:space="preserve">negatively </w:t>
      </w:r>
      <w:r w:rsidR="00071C74" w:rsidRPr="004B502E">
        <w:rPr>
          <w:rFonts w:ascii="Times New Roman" w:hAnsi="Times New Roman" w:cs="Times New Roman"/>
          <w:sz w:val="24"/>
          <w:szCs w:val="24"/>
        </w:rPr>
        <w:t xml:space="preserve">affected during the </w:t>
      </w:r>
      <w:r w:rsidR="00852351" w:rsidRPr="004B502E">
        <w:rPr>
          <w:rFonts w:ascii="Times New Roman" w:hAnsi="Times New Roman" w:cs="Times New Roman"/>
          <w:sz w:val="24"/>
          <w:szCs w:val="24"/>
        </w:rPr>
        <w:t>post</w:t>
      </w:r>
      <w:r w:rsidR="00852351">
        <w:rPr>
          <w:rFonts w:ascii="Times New Roman" w:hAnsi="Times New Roman" w:cs="Times New Roman"/>
          <w:sz w:val="24"/>
          <w:szCs w:val="24"/>
        </w:rPr>
        <w:t>-</w:t>
      </w:r>
      <w:r w:rsidR="00071C74" w:rsidRPr="004B502E">
        <w:rPr>
          <w:rFonts w:ascii="Times New Roman" w:hAnsi="Times New Roman" w:cs="Times New Roman"/>
          <w:sz w:val="24"/>
          <w:szCs w:val="24"/>
        </w:rPr>
        <w:t>crisis period.</w:t>
      </w:r>
      <w:r w:rsidR="003A5ECF" w:rsidRPr="004B502E">
        <w:rPr>
          <w:rFonts w:ascii="Times New Roman" w:hAnsi="Times New Roman" w:cs="Times New Roman"/>
          <w:sz w:val="24"/>
          <w:szCs w:val="24"/>
        </w:rPr>
        <w:t xml:space="preserve"> </w:t>
      </w:r>
    </w:p>
    <w:p w:rsidR="00071C74" w:rsidRPr="004B502E" w:rsidRDefault="00D35B12" w:rsidP="0045742B">
      <w:pPr>
        <w:spacing w:line="480" w:lineRule="auto"/>
        <w:ind w:firstLine="720"/>
        <w:rPr>
          <w:rFonts w:ascii="Times New Roman" w:hAnsi="Times New Roman" w:cs="Times New Roman"/>
          <w:sz w:val="24"/>
          <w:szCs w:val="24"/>
        </w:rPr>
      </w:pPr>
      <w:r w:rsidRPr="004B502E">
        <w:rPr>
          <w:rFonts w:ascii="Times New Roman" w:hAnsi="Times New Roman" w:cs="Times New Roman"/>
          <w:sz w:val="24"/>
          <w:szCs w:val="24"/>
        </w:rPr>
        <w:t xml:space="preserve">Miniaoui </w:t>
      </w:r>
      <w:r w:rsidR="006B7968" w:rsidRPr="004B502E">
        <w:rPr>
          <w:rFonts w:ascii="Times New Roman" w:hAnsi="Times New Roman" w:cs="Times New Roman"/>
          <w:sz w:val="24"/>
          <w:szCs w:val="24"/>
        </w:rPr>
        <w:t>and</w:t>
      </w:r>
      <w:r w:rsidR="00951213" w:rsidRPr="004B502E">
        <w:rPr>
          <w:rFonts w:ascii="Times New Roman" w:hAnsi="Times New Roman" w:cs="Times New Roman"/>
          <w:sz w:val="24"/>
          <w:szCs w:val="24"/>
        </w:rPr>
        <w:t xml:space="preserve"> Gohou (2011)</w:t>
      </w:r>
      <w:r w:rsidR="0045742B" w:rsidRPr="004B502E">
        <w:rPr>
          <w:rFonts w:ascii="Times New Roman" w:hAnsi="Times New Roman" w:cs="Times New Roman"/>
          <w:sz w:val="24"/>
          <w:szCs w:val="24"/>
        </w:rPr>
        <w:t xml:space="preserve"> </w:t>
      </w:r>
      <w:r w:rsidRPr="004B502E">
        <w:rPr>
          <w:rFonts w:ascii="Times New Roman" w:hAnsi="Times New Roman" w:cs="Times New Roman"/>
          <w:sz w:val="24"/>
          <w:szCs w:val="24"/>
        </w:rPr>
        <w:t>use</w:t>
      </w:r>
      <w:r w:rsidR="009065DF" w:rsidRPr="004B502E">
        <w:rPr>
          <w:rFonts w:ascii="Times New Roman" w:hAnsi="Times New Roman" w:cs="Times New Roman"/>
          <w:sz w:val="24"/>
          <w:szCs w:val="24"/>
        </w:rPr>
        <w:t>d</w:t>
      </w:r>
      <w:r w:rsidRPr="004B502E">
        <w:rPr>
          <w:rFonts w:ascii="Times New Roman" w:hAnsi="Times New Roman" w:cs="Times New Roman"/>
          <w:sz w:val="24"/>
          <w:szCs w:val="24"/>
        </w:rPr>
        <w:t xml:space="preserve"> the performance di</w:t>
      </w:r>
      <w:r w:rsidR="00AE70EE" w:rsidRPr="004B502E">
        <w:rPr>
          <w:rFonts w:ascii="Times New Roman" w:hAnsi="Times New Roman" w:cs="Times New Roman"/>
          <w:sz w:val="24"/>
          <w:szCs w:val="24"/>
        </w:rPr>
        <w:t xml:space="preserve">fferences between Islamic </w:t>
      </w:r>
      <w:r w:rsidRPr="004B502E">
        <w:rPr>
          <w:rFonts w:ascii="Times New Roman" w:hAnsi="Times New Roman" w:cs="Times New Roman"/>
          <w:sz w:val="24"/>
          <w:szCs w:val="24"/>
        </w:rPr>
        <w:t xml:space="preserve">and conventional banks </w:t>
      </w:r>
      <w:r w:rsidR="00852351" w:rsidRPr="004B502E">
        <w:rPr>
          <w:rFonts w:ascii="Times New Roman" w:hAnsi="Times New Roman" w:cs="Times New Roman"/>
          <w:sz w:val="24"/>
          <w:szCs w:val="24"/>
        </w:rPr>
        <w:t xml:space="preserve">from </w:t>
      </w:r>
      <w:r w:rsidR="00852351">
        <w:rPr>
          <w:rFonts w:ascii="Times New Roman" w:hAnsi="Times New Roman" w:cs="Times New Roman"/>
          <w:sz w:val="24"/>
          <w:szCs w:val="24"/>
        </w:rPr>
        <w:t xml:space="preserve">the </w:t>
      </w:r>
      <w:r w:rsidR="00852351" w:rsidRPr="004B502E">
        <w:rPr>
          <w:rFonts w:ascii="Times New Roman" w:hAnsi="Times New Roman" w:cs="Times New Roman"/>
          <w:sz w:val="24"/>
          <w:szCs w:val="24"/>
        </w:rPr>
        <w:t>UAE</w:t>
      </w:r>
      <w:r w:rsidR="00852351">
        <w:rPr>
          <w:rFonts w:ascii="Times New Roman" w:hAnsi="Times New Roman" w:cs="Times New Roman"/>
          <w:sz w:val="24"/>
          <w:szCs w:val="24"/>
        </w:rPr>
        <w:t xml:space="preserve"> to</w:t>
      </w:r>
      <w:r w:rsidRPr="004B502E">
        <w:rPr>
          <w:rFonts w:ascii="Times New Roman" w:hAnsi="Times New Roman" w:cs="Times New Roman"/>
          <w:sz w:val="24"/>
          <w:szCs w:val="24"/>
        </w:rPr>
        <w:t xml:space="preserve"> evaluat</w:t>
      </w:r>
      <w:r w:rsidR="00852351">
        <w:rPr>
          <w:rFonts w:ascii="Times New Roman" w:hAnsi="Times New Roman" w:cs="Times New Roman"/>
          <w:sz w:val="24"/>
          <w:szCs w:val="24"/>
        </w:rPr>
        <w:t>e</w:t>
      </w:r>
      <w:r w:rsidRPr="004B502E">
        <w:rPr>
          <w:rFonts w:ascii="Times New Roman" w:hAnsi="Times New Roman" w:cs="Times New Roman"/>
          <w:sz w:val="24"/>
          <w:szCs w:val="24"/>
        </w:rPr>
        <w:t xml:space="preserve"> the impact of </w:t>
      </w:r>
      <w:r w:rsidR="008B37B5" w:rsidRPr="004B502E">
        <w:rPr>
          <w:rFonts w:ascii="Times New Roman" w:hAnsi="Times New Roman" w:cs="Times New Roman"/>
          <w:sz w:val="24"/>
          <w:szCs w:val="24"/>
        </w:rPr>
        <w:t xml:space="preserve">the </w:t>
      </w:r>
      <w:r w:rsidRPr="004B502E">
        <w:rPr>
          <w:rFonts w:ascii="Times New Roman" w:hAnsi="Times New Roman" w:cs="Times New Roman"/>
          <w:sz w:val="24"/>
          <w:szCs w:val="24"/>
        </w:rPr>
        <w:t>economic recession</w:t>
      </w:r>
      <w:r w:rsidR="00AE70EE" w:rsidRPr="004B502E">
        <w:rPr>
          <w:rFonts w:ascii="Times New Roman" w:hAnsi="Times New Roman" w:cs="Times New Roman"/>
          <w:sz w:val="24"/>
          <w:szCs w:val="24"/>
        </w:rPr>
        <w:t>.</w:t>
      </w:r>
      <w:r w:rsidR="008B37B5" w:rsidRPr="004B502E">
        <w:rPr>
          <w:rFonts w:ascii="Times New Roman" w:hAnsi="Times New Roman" w:cs="Times New Roman"/>
          <w:sz w:val="24"/>
          <w:szCs w:val="24"/>
        </w:rPr>
        <w:t xml:space="preserve"> The</w:t>
      </w:r>
      <w:r w:rsidR="009065DF" w:rsidRPr="004B502E">
        <w:rPr>
          <w:rFonts w:ascii="Times New Roman" w:hAnsi="Times New Roman" w:cs="Times New Roman"/>
          <w:sz w:val="24"/>
          <w:szCs w:val="24"/>
        </w:rPr>
        <w:t xml:space="preserve"> </w:t>
      </w:r>
      <w:r w:rsidR="008B37B5" w:rsidRPr="004B502E">
        <w:rPr>
          <w:rFonts w:ascii="Times New Roman" w:hAnsi="Times New Roman" w:cs="Times New Roman"/>
          <w:sz w:val="24"/>
          <w:szCs w:val="24"/>
        </w:rPr>
        <w:t>a</w:t>
      </w:r>
      <w:r w:rsidR="009065DF" w:rsidRPr="004B502E">
        <w:rPr>
          <w:rFonts w:ascii="Times New Roman" w:hAnsi="Times New Roman" w:cs="Times New Roman"/>
          <w:sz w:val="24"/>
          <w:szCs w:val="24"/>
        </w:rPr>
        <w:t xml:space="preserve">uthors </w:t>
      </w:r>
      <w:r w:rsidRPr="004B502E">
        <w:rPr>
          <w:rFonts w:ascii="Times New Roman" w:hAnsi="Times New Roman" w:cs="Times New Roman"/>
          <w:sz w:val="24"/>
          <w:szCs w:val="24"/>
        </w:rPr>
        <w:t>conclu</w:t>
      </w:r>
      <w:r w:rsidR="00DF7917">
        <w:rPr>
          <w:rFonts w:ascii="Times New Roman" w:hAnsi="Times New Roman" w:cs="Times New Roman"/>
          <w:sz w:val="24"/>
          <w:szCs w:val="24"/>
        </w:rPr>
        <w:t>ded</w:t>
      </w:r>
      <w:r w:rsidRPr="004B502E">
        <w:rPr>
          <w:rFonts w:ascii="Times New Roman" w:hAnsi="Times New Roman" w:cs="Times New Roman"/>
          <w:sz w:val="24"/>
          <w:szCs w:val="24"/>
        </w:rPr>
        <w:t xml:space="preserve"> t</w:t>
      </w:r>
      <w:r w:rsidR="009065DF" w:rsidRPr="004B502E">
        <w:rPr>
          <w:rFonts w:ascii="Times New Roman" w:hAnsi="Times New Roman" w:cs="Times New Roman"/>
          <w:sz w:val="24"/>
          <w:szCs w:val="24"/>
        </w:rPr>
        <w:t>hat conventional banks performed</w:t>
      </w:r>
      <w:r w:rsidRPr="004B502E">
        <w:rPr>
          <w:rFonts w:ascii="Times New Roman" w:hAnsi="Times New Roman" w:cs="Times New Roman"/>
          <w:sz w:val="24"/>
          <w:szCs w:val="24"/>
        </w:rPr>
        <w:t xml:space="preserve"> better than </w:t>
      </w:r>
      <w:r w:rsidR="00852351">
        <w:rPr>
          <w:rFonts w:ascii="Times New Roman" w:hAnsi="Times New Roman" w:cs="Times New Roman"/>
          <w:sz w:val="24"/>
          <w:szCs w:val="24"/>
        </w:rPr>
        <w:t>Islamic banks</w:t>
      </w:r>
      <w:r w:rsidRPr="004B502E">
        <w:rPr>
          <w:rFonts w:ascii="Times New Roman" w:hAnsi="Times New Roman" w:cs="Times New Roman"/>
          <w:sz w:val="24"/>
          <w:szCs w:val="24"/>
        </w:rPr>
        <w:t xml:space="preserve"> prior </w:t>
      </w:r>
      <w:r w:rsidR="008B37B5" w:rsidRPr="004B502E">
        <w:rPr>
          <w:rFonts w:ascii="Times New Roman" w:hAnsi="Times New Roman" w:cs="Times New Roman"/>
          <w:sz w:val="24"/>
          <w:szCs w:val="24"/>
        </w:rPr>
        <w:t xml:space="preserve">to </w:t>
      </w:r>
      <w:r w:rsidRPr="004B502E">
        <w:rPr>
          <w:rFonts w:ascii="Times New Roman" w:hAnsi="Times New Roman" w:cs="Times New Roman"/>
          <w:sz w:val="24"/>
          <w:szCs w:val="24"/>
        </w:rPr>
        <w:t xml:space="preserve">the economic recession of 2008, however </w:t>
      </w:r>
      <w:r w:rsidR="009065DF" w:rsidRPr="004B502E">
        <w:rPr>
          <w:rFonts w:ascii="Times New Roman" w:hAnsi="Times New Roman" w:cs="Times New Roman"/>
          <w:sz w:val="24"/>
          <w:szCs w:val="24"/>
        </w:rPr>
        <w:t>difference</w:t>
      </w:r>
      <w:r w:rsidR="00DF7917">
        <w:rPr>
          <w:rFonts w:ascii="Times New Roman" w:hAnsi="Times New Roman" w:cs="Times New Roman"/>
          <w:sz w:val="24"/>
          <w:szCs w:val="24"/>
        </w:rPr>
        <w:t>s</w:t>
      </w:r>
      <w:r w:rsidRPr="004B502E">
        <w:rPr>
          <w:rFonts w:ascii="Times New Roman" w:hAnsi="Times New Roman" w:cs="Times New Roman"/>
          <w:sz w:val="24"/>
          <w:szCs w:val="24"/>
        </w:rPr>
        <w:t xml:space="preserve"> gradu</w:t>
      </w:r>
      <w:r w:rsidR="009065DF" w:rsidRPr="004B502E">
        <w:rPr>
          <w:rFonts w:ascii="Times New Roman" w:hAnsi="Times New Roman" w:cs="Times New Roman"/>
          <w:sz w:val="24"/>
          <w:szCs w:val="24"/>
        </w:rPr>
        <w:t>ally decreased</w:t>
      </w:r>
      <w:r w:rsidR="00DF7917" w:rsidRPr="00DF7917">
        <w:rPr>
          <w:rFonts w:ascii="Times New Roman" w:hAnsi="Times New Roman" w:cs="Times New Roman"/>
          <w:sz w:val="24"/>
          <w:szCs w:val="24"/>
        </w:rPr>
        <w:t xml:space="preserve"> </w:t>
      </w:r>
      <w:r w:rsidR="00DF7917" w:rsidRPr="004B502E">
        <w:rPr>
          <w:rFonts w:ascii="Times New Roman" w:hAnsi="Times New Roman" w:cs="Times New Roman"/>
          <w:sz w:val="24"/>
          <w:szCs w:val="24"/>
        </w:rPr>
        <w:t>after the recession</w:t>
      </w:r>
      <w:r w:rsidRPr="004B502E">
        <w:rPr>
          <w:rFonts w:ascii="Times New Roman" w:hAnsi="Times New Roman" w:cs="Times New Roman"/>
          <w:sz w:val="24"/>
          <w:szCs w:val="24"/>
        </w:rPr>
        <w:t>. Those results could be interpr</w:t>
      </w:r>
      <w:r w:rsidR="00DC0077">
        <w:rPr>
          <w:rFonts w:ascii="Times New Roman" w:hAnsi="Times New Roman" w:cs="Times New Roman"/>
          <w:sz w:val="24"/>
          <w:szCs w:val="24"/>
        </w:rPr>
        <w:t xml:space="preserve">eted in a way that the financial </w:t>
      </w:r>
      <w:r w:rsidRPr="004B502E">
        <w:rPr>
          <w:rFonts w:ascii="Times New Roman" w:hAnsi="Times New Roman" w:cs="Times New Roman"/>
          <w:sz w:val="24"/>
          <w:szCs w:val="24"/>
        </w:rPr>
        <w:t xml:space="preserve">crisis either positively affected the performance of </w:t>
      </w:r>
      <w:r w:rsidR="00852351">
        <w:rPr>
          <w:rFonts w:ascii="Times New Roman" w:hAnsi="Times New Roman" w:cs="Times New Roman"/>
          <w:sz w:val="24"/>
          <w:szCs w:val="24"/>
        </w:rPr>
        <w:t>Islamic banks</w:t>
      </w:r>
      <w:r w:rsidRPr="004B502E">
        <w:rPr>
          <w:rFonts w:ascii="Times New Roman" w:hAnsi="Times New Roman" w:cs="Times New Roman"/>
          <w:sz w:val="24"/>
          <w:szCs w:val="24"/>
        </w:rPr>
        <w:t xml:space="preserve"> by bringing them closer to the conventional banks, or negatively affected the performance of conventional banks by bringing them closer to the </w:t>
      </w:r>
      <w:r w:rsidR="00852351">
        <w:rPr>
          <w:rFonts w:ascii="Times New Roman" w:hAnsi="Times New Roman" w:cs="Times New Roman"/>
          <w:sz w:val="24"/>
          <w:szCs w:val="24"/>
        </w:rPr>
        <w:t>Islamic banks</w:t>
      </w:r>
      <w:r w:rsidRPr="004B502E">
        <w:rPr>
          <w:rFonts w:ascii="Times New Roman" w:hAnsi="Times New Roman" w:cs="Times New Roman"/>
          <w:sz w:val="24"/>
          <w:szCs w:val="24"/>
        </w:rPr>
        <w:t xml:space="preserve">. </w:t>
      </w:r>
    </w:p>
    <w:p w:rsidR="009065DF" w:rsidRPr="004B502E" w:rsidRDefault="009065DF" w:rsidP="00D1437C">
      <w:pPr>
        <w:spacing w:line="480" w:lineRule="auto"/>
        <w:ind w:firstLine="720"/>
        <w:rPr>
          <w:rFonts w:ascii="Times New Roman" w:hAnsi="Times New Roman" w:cs="Times New Roman"/>
          <w:color w:val="000000"/>
          <w:sz w:val="24"/>
          <w:szCs w:val="24"/>
        </w:rPr>
      </w:pPr>
      <w:r w:rsidRPr="004B502E">
        <w:rPr>
          <w:rFonts w:ascii="Times New Roman" w:hAnsi="Times New Roman" w:cs="Times New Roman"/>
          <w:color w:val="000000"/>
          <w:sz w:val="24"/>
          <w:szCs w:val="24"/>
        </w:rPr>
        <w:t>F</w:t>
      </w:r>
      <w:r w:rsidR="00AE70EE" w:rsidRPr="004B502E">
        <w:rPr>
          <w:rFonts w:ascii="Times New Roman" w:hAnsi="Times New Roman" w:cs="Times New Roman"/>
          <w:color w:val="000000"/>
          <w:sz w:val="24"/>
          <w:szCs w:val="24"/>
        </w:rPr>
        <w:t xml:space="preserve">ew studies were performed on </w:t>
      </w:r>
      <w:r w:rsidR="00676216" w:rsidRPr="004B502E">
        <w:rPr>
          <w:rFonts w:ascii="Times New Roman" w:hAnsi="Times New Roman" w:cs="Times New Roman"/>
          <w:color w:val="000000"/>
          <w:sz w:val="24"/>
          <w:szCs w:val="24"/>
        </w:rPr>
        <w:t xml:space="preserve">the effect </w:t>
      </w:r>
      <w:r w:rsidR="005A2A0F" w:rsidRPr="004B502E">
        <w:rPr>
          <w:rFonts w:ascii="Times New Roman" w:hAnsi="Times New Roman" w:cs="Times New Roman"/>
          <w:color w:val="000000"/>
          <w:sz w:val="24"/>
          <w:szCs w:val="24"/>
        </w:rPr>
        <w:t xml:space="preserve">of </w:t>
      </w:r>
      <w:r w:rsidR="008B37B5" w:rsidRPr="004B502E">
        <w:rPr>
          <w:rFonts w:ascii="Times New Roman" w:hAnsi="Times New Roman" w:cs="Times New Roman"/>
          <w:color w:val="000000"/>
          <w:sz w:val="24"/>
          <w:szCs w:val="24"/>
        </w:rPr>
        <w:t xml:space="preserve">the </w:t>
      </w:r>
      <w:r w:rsidR="00DC0077">
        <w:rPr>
          <w:rFonts w:ascii="Times New Roman" w:hAnsi="Times New Roman" w:cs="Times New Roman"/>
          <w:color w:val="000000"/>
          <w:sz w:val="24"/>
          <w:szCs w:val="24"/>
        </w:rPr>
        <w:t xml:space="preserve">financial </w:t>
      </w:r>
      <w:r w:rsidR="005A2A0F" w:rsidRPr="004B502E">
        <w:rPr>
          <w:rFonts w:ascii="Times New Roman" w:hAnsi="Times New Roman" w:cs="Times New Roman"/>
          <w:color w:val="000000"/>
          <w:sz w:val="24"/>
          <w:szCs w:val="24"/>
        </w:rPr>
        <w:t xml:space="preserve">crisis of 2008 on the performance of Malaysian </w:t>
      </w:r>
      <w:r w:rsidR="00852351">
        <w:rPr>
          <w:rFonts w:ascii="Times New Roman" w:hAnsi="Times New Roman" w:cs="Times New Roman"/>
          <w:color w:val="000000"/>
          <w:sz w:val="24"/>
          <w:szCs w:val="24"/>
        </w:rPr>
        <w:t>Islamic banks</w:t>
      </w:r>
      <w:r w:rsidR="00DF7917">
        <w:rPr>
          <w:rFonts w:ascii="Times New Roman" w:hAnsi="Times New Roman" w:cs="Times New Roman"/>
          <w:color w:val="000000"/>
          <w:sz w:val="24"/>
          <w:szCs w:val="24"/>
        </w:rPr>
        <w:t>,</w:t>
      </w:r>
      <w:r w:rsidR="00DF7917" w:rsidRPr="004B502E">
        <w:rPr>
          <w:rFonts w:ascii="Times New Roman" w:hAnsi="Times New Roman" w:cs="Times New Roman"/>
          <w:color w:val="000000"/>
          <w:sz w:val="24"/>
          <w:szCs w:val="24"/>
        </w:rPr>
        <w:t xml:space="preserve"> </w:t>
      </w:r>
      <w:r w:rsidR="00DF7917">
        <w:rPr>
          <w:rFonts w:ascii="Times New Roman" w:hAnsi="Times New Roman" w:cs="Times New Roman"/>
          <w:color w:val="000000"/>
          <w:sz w:val="24"/>
          <w:szCs w:val="24"/>
        </w:rPr>
        <w:t>and</w:t>
      </w:r>
      <w:r w:rsidR="005A2A0F" w:rsidRPr="004B502E">
        <w:rPr>
          <w:rFonts w:ascii="Times New Roman" w:hAnsi="Times New Roman" w:cs="Times New Roman"/>
          <w:color w:val="000000"/>
          <w:sz w:val="24"/>
          <w:szCs w:val="24"/>
        </w:rPr>
        <w:t xml:space="preserve"> opinions </w:t>
      </w:r>
      <w:r w:rsidR="00DF7917" w:rsidRPr="004B502E">
        <w:rPr>
          <w:rFonts w:ascii="Times New Roman" w:hAnsi="Times New Roman" w:cs="Times New Roman"/>
          <w:color w:val="000000"/>
          <w:sz w:val="24"/>
          <w:szCs w:val="24"/>
        </w:rPr>
        <w:t xml:space="preserve">differ </w:t>
      </w:r>
      <w:r w:rsidR="005A2A0F" w:rsidRPr="004B502E">
        <w:rPr>
          <w:rFonts w:ascii="Times New Roman" w:hAnsi="Times New Roman" w:cs="Times New Roman"/>
          <w:color w:val="000000"/>
          <w:sz w:val="24"/>
          <w:szCs w:val="24"/>
        </w:rPr>
        <w:t xml:space="preserve">regarding </w:t>
      </w:r>
      <w:r w:rsidR="00DF7917">
        <w:rPr>
          <w:rFonts w:ascii="Times New Roman" w:hAnsi="Times New Roman" w:cs="Times New Roman"/>
          <w:color w:val="000000"/>
          <w:sz w:val="24"/>
          <w:szCs w:val="24"/>
        </w:rPr>
        <w:t xml:space="preserve">the </w:t>
      </w:r>
      <w:r w:rsidR="005A2A0F" w:rsidRPr="004B502E">
        <w:rPr>
          <w:rFonts w:ascii="Times New Roman" w:hAnsi="Times New Roman" w:cs="Times New Roman"/>
          <w:color w:val="000000"/>
          <w:sz w:val="24"/>
          <w:szCs w:val="24"/>
        </w:rPr>
        <w:t xml:space="preserve">resiliency of Malaysian </w:t>
      </w:r>
      <w:r w:rsidR="00852351">
        <w:rPr>
          <w:rFonts w:ascii="Times New Roman" w:hAnsi="Times New Roman" w:cs="Times New Roman"/>
          <w:color w:val="000000"/>
          <w:sz w:val="24"/>
          <w:szCs w:val="24"/>
        </w:rPr>
        <w:t>Islamic banks</w:t>
      </w:r>
      <w:r w:rsidR="005A2A0F" w:rsidRPr="004B502E">
        <w:rPr>
          <w:rFonts w:ascii="Times New Roman" w:hAnsi="Times New Roman" w:cs="Times New Roman"/>
          <w:color w:val="000000"/>
          <w:sz w:val="24"/>
          <w:szCs w:val="24"/>
        </w:rPr>
        <w:t xml:space="preserve"> to </w:t>
      </w:r>
      <w:r w:rsidRPr="004B502E">
        <w:rPr>
          <w:rFonts w:ascii="Times New Roman" w:hAnsi="Times New Roman" w:cs="Times New Roman"/>
          <w:color w:val="000000"/>
          <w:sz w:val="24"/>
          <w:szCs w:val="24"/>
        </w:rPr>
        <w:t xml:space="preserve">the </w:t>
      </w:r>
      <w:r w:rsidR="005A2A0F" w:rsidRPr="004B502E">
        <w:rPr>
          <w:rFonts w:ascii="Times New Roman" w:hAnsi="Times New Roman" w:cs="Times New Roman"/>
          <w:color w:val="000000"/>
          <w:sz w:val="24"/>
          <w:szCs w:val="24"/>
        </w:rPr>
        <w:t xml:space="preserve">economic recession of 2008. For instance, </w:t>
      </w:r>
      <w:r w:rsidR="009D6AFF" w:rsidRPr="004B502E">
        <w:rPr>
          <w:rFonts w:ascii="Times New Roman" w:hAnsi="Times New Roman" w:cs="Times New Roman"/>
          <w:color w:val="000000"/>
          <w:sz w:val="24"/>
          <w:szCs w:val="24"/>
        </w:rPr>
        <w:t>Wasiuzzaman and Tarmizi (2010)</w:t>
      </w:r>
      <w:r w:rsidR="00676216" w:rsidRPr="004B502E">
        <w:rPr>
          <w:rFonts w:ascii="Times New Roman" w:hAnsi="Times New Roman" w:cs="Times New Roman"/>
          <w:color w:val="000000"/>
          <w:sz w:val="24"/>
          <w:szCs w:val="24"/>
        </w:rPr>
        <w:t xml:space="preserve"> present</w:t>
      </w:r>
      <w:r w:rsidRPr="004B502E">
        <w:rPr>
          <w:rFonts w:ascii="Times New Roman" w:hAnsi="Times New Roman" w:cs="Times New Roman"/>
          <w:color w:val="000000"/>
          <w:sz w:val="24"/>
          <w:szCs w:val="24"/>
        </w:rPr>
        <w:t>ed</w:t>
      </w:r>
      <w:r w:rsidR="009D6AFF" w:rsidRPr="004B502E">
        <w:rPr>
          <w:rFonts w:ascii="Times New Roman" w:hAnsi="Times New Roman" w:cs="Times New Roman"/>
          <w:color w:val="000000"/>
          <w:sz w:val="24"/>
          <w:szCs w:val="24"/>
        </w:rPr>
        <w:t xml:space="preserve"> Malaysia as a country that </w:t>
      </w:r>
      <w:r w:rsidR="00DF7917" w:rsidRPr="004B502E">
        <w:rPr>
          <w:rFonts w:ascii="Times New Roman" w:hAnsi="Times New Roman" w:cs="Times New Roman"/>
          <w:color w:val="000000"/>
          <w:sz w:val="24"/>
          <w:szCs w:val="24"/>
        </w:rPr>
        <w:t>ha</w:t>
      </w:r>
      <w:r w:rsidR="00DF7917">
        <w:rPr>
          <w:rFonts w:ascii="Times New Roman" w:hAnsi="Times New Roman" w:cs="Times New Roman"/>
          <w:color w:val="000000"/>
          <w:sz w:val="24"/>
          <w:szCs w:val="24"/>
        </w:rPr>
        <w:t>d</w:t>
      </w:r>
      <w:r w:rsidR="00DF7917" w:rsidRPr="004B502E">
        <w:rPr>
          <w:rFonts w:ascii="Times New Roman" w:hAnsi="Times New Roman" w:cs="Times New Roman"/>
          <w:color w:val="000000"/>
          <w:sz w:val="24"/>
          <w:szCs w:val="24"/>
        </w:rPr>
        <w:t xml:space="preserve"> </w:t>
      </w:r>
      <w:r w:rsidR="009D6AFF" w:rsidRPr="004B502E">
        <w:rPr>
          <w:rFonts w:ascii="Times New Roman" w:hAnsi="Times New Roman" w:cs="Times New Roman"/>
          <w:color w:val="000000"/>
          <w:sz w:val="24"/>
          <w:szCs w:val="24"/>
        </w:rPr>
        <w:t xml:space="preserve">been less affected by the economic recession, and this stability </w:t>
      </w:r>
      <w:r w:rsidR="00B6176C" w:rsidRPr="004B502E">
        <w:rPr>
          <w:rFonts w:ascii="Times New Roman" w:hAnsi="Times New Roman" w:cs="Times New Roman"/>
          <w:color w:val="000000"/>
          <w:sz w:val="24"/>
          <w:szCs w:val="24"/>
        </w:rPr>
        <w:t xml:space="preserve">was </w:t>
      </w:r>
      <w:r w:rsidR="00676216" w:rsidRPr="004B502E">
        <w:rPr>
          <w:rFonts w:ascii="Times New Roman" w:hAnsi="Times New Roman" w:cs="Times New Roman"/>
          <w:color w:val="000000"/>
          <w:sz w:val="24"/>
          <w:szCs w:val="24"/>
        </w:rPr>
        <w:t>explain</w:t>
      </w:r>
      <w:r w:rsidRPr="004B502E">
        <w:rPr>
          <w:rFonts w:ascii="Times New Roman" w:hAnsi="Times New Roman" w:cs="Times New Roman"/>
          <w:color w:val="000000"/>
          <w:sz w:val="24"/>
          <w:szCs w:val="24"/>
        </w:rPr>
        <w:t>ed</w:t>
      </w:r>
      <w:r w:rsidR="009D6AFF" w:rsidRPr="004B502E">
        <w:rPr>
          <w:rFonts w:ascii="Times New Roman" w:hAnsi="Times New Roman" w:cs="Times New Roman"/>
          <w:color w:val="000000"/>
          <w:sz w:val="24"/>
          <w:szCs w:val="24"/>
        </w:rPr>
        <w:t xml:space="preserve"> </w:t>
      </w:r>
      <w:r w:rsidR="00DF7917">
        <w:rPr>
          <w:rFonts w:ascii="Times New Roman" w:hAnsi="Times New Roman" w:cs="Times New Roman"/>
          <w:color w:val="000000"/>
          <w:sz w:val="24"/>
          <w:szCs w:val="24"/>
        </w:rPr>
        <w:t xml:space="preserve">as a result of </w:t>
      </w:r>
      <w:r w:rsidR="009D6AFF" w:rsidRPr="004B502E">
        <w:rPr>
          <w:rFonts w:ascii="Times New Roman" w:hAnsi="Times New Roman" w:cs="Times New Roman"/>
          <w:color w:val="000000"/>
          <w:sz w:val="24"/>
          <w:szCs w:val="24"/>
        </w:rPr>
        <w:t>the presence of</w:t>
      </w:r>
      <w:r w:rsidR="00B6176C" w:rsidRPr="004B502E">
        <w:rPr>
          <w:rFonts w:ascii="Times New Roman" w:hAnsi="Times New Roman" w:cs="Times New Roman"/>
          <w:color w:val="000000"/>
          <w:sz w:val="24"/>
          <w:szCs w:val="24"/>
        </w:rPr>
        <w:t xml:space="preserve"> the</w:t>
      </w:r>
      <w:r w:rsidR="009D6AFF" w:rsidRPr="004B502E">
        <w:rPr>
          <w:rFonts w:ascii="Times New Roman" w:hAnsi="Times New Roman" w:cs="Times New Roman"/>
          <w:color w:val="000000"/>
          <w:sz w:val="24"/>
          <w:szCs w:val="24"/>
        </w:rPr>
        <w:t xml:space="preserve"> Islamic </w:t>
      </w:r>
      <w:r w:rsidR="00DF7917">
        <w:rPr>
          <w:rFonts w:ascii="Times New Roman" w:hAnsi="Times New Roman" w:cs="Times New Roman"/>
          <w:color w:val="000000"/>
          <w:sz w:val="24"/>
          <w:szCs w:val="24"/>
        </w:rPr>
        <w:t>b</w:t>
      </w:r>
      <w:r w:rsidR="00DF7917" w:rsidRPr="004B502E">
        <w:rPr>
          <w:rFonts w:ascii="Times New Roman" w:hAnsi="Times New Roman" w:cs="Times New Roman"/>
          <w:color w:val="000000"/>
          <w:sz w:val="24"/>
          <w:szCs w:val="24"/>
        </w:rPr>
        <w:t xml:space="preserve">anking </w:t>
      </w:r>
      <w:r w:rsidR="009D6AFF" w:rsidRPr="004B502E">
        <w:rPr>
          <w:rFonts w:ascii="Times New Roman" w:hAnsi="Times New Roman" w:cs="Times New Roman"/>
          <w:color w:val="000000"/>
          <w:sz w:val="24"/>
          <w:szCs w:val="24"/>
        </w:rPr>
        <w:t xml:space="preserve">system in </w:t>
      </w:r>
      <w:r w:rsidR="00DF7917" w:rsidRPr="004B502E">
        <w:rPr>
          <w:rFonts w:ascii="Times New Roman" w:hAnsi="Times New Roman" w:cs="Times New Roman"/>
          <w:color w:val="000000"/>
          <w:sz w:val="24"/>
          <w:szCs w:val="24"/>
        </w:rPr>
        <w:t>th</w:t>
      </w:r>
      <w:r w:rsidR="00DF7917">
        <w:rPr>
          <w:rFonts w:ascii="Times New Roman" w:hAnsi="Times New Roman" w:cs="Times New Roman"/>
          <w:color w:val="000000"/>
          <w:sz w:val="24"/>
          <w:szCs w:val="24"/>
        </w:rPr>
        <w:t>e</w:t>
      </w:r>
      <w:r w:rsidR="00DF7917" w:rsidRPr="004B502E">
        <w:rPr>
          <w:rFonts w:ascii="Times New Roman" w:hAnsi="Times New Roman" w:cs="Times New Roman"/>
          <w:color w:val="000000"/>
          <w:sz w:val="24"/>
          <w:szCs w:val="24"/>
        </w:rPr>
        <w:t xml:space="preserve"> </w:t>
      </w:r>
      <w:r w:rsidR="009D6AFF" w:rsidRPr="004B502E">
        <w:rPr>
          <w:rFonts w:ascii="Times New Roman" w:hAnsi="Times New Roman" w:cs="Times New Roman"/>
          <w:color w:val="000000"/>
          <w:sz w:val="24"/>
          <w:szCs w:val="24"/>
        </w:rPr>
        <w:t>country.</w:t>
      </w:r>
      <w:r w:rsidR="00F6527D" w:rsidRPr="004B502E">
        <w:rPr>
          <w:rFonts w:ascii="Times New Roman" w:hAnsi="Times New Roman" w:cs="Times New Roman"/>
          <w:color w:val="000000"/>
          <w:sz w:val="24"/>
          <w:szCs w:val="24"/>
        </w:rPr>
        <w:t xml:space="preserve"> </w:t>
      </w:r>
    </w:p>
    <w:p w:rsidR="007277AA" w:rsidRPr="004B502E" w:rsidRDefault="00F6527D" w:rsidP="00D1437C">
      <w:pPr>
        <w:spacing w:line="480" w:lineRule="auto"/>
        <w:ind w:firstLine="720"/>
        <w:rPr>
          <w:rFonts w:ascii="Times New Roman" w:hAnsi="Times New Roman" w:cs="Times New Roman"/>
          <w:color w:val="000000"/>
          <w:sz w:val="24"/>
          <w:szCs w:val="24"/>
        </w:rPr>
      </w:pPr>
      <w:r w:rsidRPr="004B502E">
        <w:rPr>
          <w:rFonts w:ascii="Times New Roman" w:hAnsi="Times New Roman" w:cs="Times New Roman"/>
          <w:color w:val="000000"/>
          <w:sz w:val="24"/>
          <w:szCs w:val="24"/>
        </w:rPr>
        <w:t xml:space="preserve">Hasan </w:t>
      </w:r>
      <w:r w:rsidR="006B7968" w:rsidRPr="004B502E">
        <w:rPr>
          <w:rFonts w:ascii="Times New Roman" w:hAnsi="Times New Roman" w:cs="Times New Roman"/>
          <w:color w:val="000000"/>
          <w:sz w:val="24"/>
          <w:szCs w:val="24"/>
        </w:rPr>
        <w:t>and</w:t>
      </w:r>
      <w:r w:rsidRPr="004B502E">
        <w:rPr>
          <w:rFonts w:ascii="Times New Roman" w:hAnsi="Times New Roman" w:cs="Times New Roman"/>
          <w:color w:val="000000"/>
          <w:sz w:val="24"/>
          <w:szCs w:val="24"/>
        </w:rPr>
        <w:t xml:space="preserve"> Dridi (2010) </w:t>
      </w:r>
      <w:r w:rsidR="00DF7917" w:rsidRPr="004B502E">
        <w:rPr>
          <w:rFonts w:ascii="Times New Roman" w:hAnsi="Times New Roman" w:cs="Times New Roman"/>
          <w:color w:val="000000"/>
          <w:sz w:val="24"/>
          <w:szCs w:val="24"/>
        </w:rPr>
        <w:t>compar</w:t>
      </w:r>
      <w:r w:rsidR="00DF7917">
        <w:rPr>
          <w:rFonts w:ascii="Times New Roman" w:hAnsi="Times New Roman" w:cs="Times New Roman"/>
          <w:color w:val="000000"/>
          <w:sz w:val="24"/>
          <w:szCs w:val="24"/>
        </w:rPr>
        <w:t>ed</w:t>
      </w:r>
      <w:r w:rsidR="00DF7917" w:rsidRPr="004B502E">
        <w:rPr>
          <w:rFonts w:ascii="Times New Roman" w:hAnsi="Times New Roman" w:cs="Times New Roman"/>
          <w:color w:val="000000"/>
          <w:sz w:val="24"/>
          <w:szCs w:val="24"/>
        </w:rPr>
        <w:t xml:space="preserve"> </w:t>
      </w:r>
      <w:r w:rsidRPr="004B502E">
        <w:rPr>
          <w:rFonts w:ascii="Times New Roman" w:hAnsi="Times New Roman" w:cs="Times New Roman"/>
          <w:color w:val="000000"/>
          <w:sz w:val="24"/>
          <w:szCs w:val="24"/>
        </w:rPr>
        <w:t xml:space="preserve">the change in profitability based on the data obtained from conventional and </w:t>
      </w:r>
      <w:r w:rsidR="00852351">
        <w:rPr>
          <w:rFonts w:ascii="Times New Roman" w:hAnsi="Times New Roman" w:cs="Times New Roman"/>
          <w:color w:val="000000"/>
          <w:sz w:val="24"/>
          <w:szCs w:val="24"/>
        </w:rPr>
        <w:t>Islamic banks</w:t>
      </w:r>
      <w:r w:rsidRPr="004B502E">
        <w:rPr>
          <w:rFonts w:ascii="Times New Roman" w:hAnsi="Times New Roman" w:cs="Times New Roman"/>
          <w:color w:val="000000"/>
          <w:sz w:val="24"/>
          <w:szCs w:val="24"/>
        </w:rPr>
        <w:t xml:space="preserve"> of Malaysia, </w:t>
      </w:r>
      <w:bookmarkStart w:id="14" w:name="_Toc327132071"/>
      <w:r w:rsidR="00DF7917">
        <w:rPr>
          <w:rFonts w:ascii="Times New Roman" w:hAnsi="Times New Roman" w:cs="Times New Roman"/>
          <w:color w:val="000000"/>
          <w:sz w:val="24"/>
          <w:szCs w:val="24"/>
        </w:rPr>
        <w:t>and</w:t>
      </w:r>
      <w:r w:rsidR="00AE70EE" w:rsidRPr="004B502E">
        <w:rPr>
          <w:rFonts w:ascii="Times New Roman" w:hAnsi="Times New Roman" w:cs="Times New Roman"/>
          <w:color w:val="000000"/>
          <w:sz w:val="24"/>
          <w:szCs w:val="24"/>
        </w:rPr>
        <w:t xml:space="preserve"> conclude</w:t>
      </w:r>
      <w:r w:rsidR="009065DF" w:rsidRPr="004B502E">
        <w:rPr>
          <w:rFonts w:ascii="Times New Roman" w:hAnsi="Times New Roman" w:cs="Times New Roman"/>
          <w:color w:val="000000"/>
          <w:sz w:val="24"/>
          <w:szCs w:val="24"/>
        </w:rPr>
        <w:t>d</w:t>
      </w:r>
      <w:r w:rsidRPr="004B502E">
        <w:rPr>
          <w:rFonts w:ascii="Times New Roman" w:hAnsi="Times New Roman" w:cs="Times New Roman"/>
          <w:color w:val="000000"/>
          <w:sz w:val="24"/>
          <w:szCs w:val="24"/>
        </w:rPr>
        <w:t xml:space="preserve"> that during the economic recession Malaysian conventional banks performed better than </w:t>
      </w:r>
      <w:r w:rsidR="00852351">
        <w:rPr>
          <w:rFonts w:ascii="Times New Roman" w:hAnsi="Times New Roman" w:cs="Times New Roman"/>
          <w:color w:val="000000"/>
          <w:sz w:val="24"/>
          <w:szCs w:val="24"/>
        </w:rPr>
        <w:t>Islamic banks</w:t>
      </w:r>
      <w:r w:rsidRPr="004B502E">
        <w:rPr>
          <w:rFonts w:ascii="Times New Roman" w:hAnsi="Times New Roman" w:cs="Times New Roman"/>
          <w:color w:val="000000"/>
          <w:sz w:val="24"/>
          <w:szCs w:val="24"/>
        </w:rPr>
        <w:t xml:space="preserve">.  </w:t>
      </w:r>
    </w:p>
    <w:p w:rsidR="00062FFD" w:rsidRPr="004B502E" w:rsidRDefault="009065DF" w:rsidP="003A5ECF">
      <w:pPr>
        <w:spacing w:line="480" w:lineRule="auto"/>
        <w:ind w:firstLine="720"/>
        <w:rPr>
          <w:rFonts w:ascii="Times New Roman" w:hAnsi="Times New Roman" w:cs="Times New Roman"/>
          <w:color w:val="000000"/>
          <w:sz w:val="24"/>
          <w:szCs w:val="24"/>
        </w:rPr>
      </w:pPr>
      <w:r w:rsidRPr="004B502E">
        <w:rPr>
          <w:rFonts w:ascii="Times New Roman" w:hAnsi="Times New Roman" w:cs="Times New Roman"/>
          <w:color w:val="000000"/>
          <w:sz w:val="24"/>
          <w:szCs w:val="24"/>
        </w:rPr>
        <w:t>Kassim and Majid</w:t>
      </w:r>
      <w:r w:rsidR="00951213" w:rsidRPr="004B502E">
        <w:rPr>
          <w:rFonts w:ascii="Times New Roman" w:hAnsi="Times New Roman" w:cs="Times New Roman"/>
          <w:color w:val="000000"/>
          <w:sz w:val="24"/>
          <w:szCs w:val="24"/>
        </w:rPr>
        <w:t xml:space="preserve"> </w:t>
      </w:r>
      <w:r w:rsidRPr="004B502E">
        <w:rPr>
          <w:rFonts w:ascii="Times New Roman" w:hAnsi="Times New Roman" w:cs="Times New Roman"/>
          <w:color w:val="000000"/>
          <w:sz w:val="24"/>
          <w:szCs w:val="24"/>
        </w:rPr>
        <w:t>(</w:t>
      </w:r>
      <w:r w:rsidR="00951213" w:rsidRPr="004B502E">
        <w:rPr>
          <w:rFonts w:ascii="Times New Roman" w:hAnsi="Times New Roman" w:cs="Times New Roman"/>
          <w:color w:val="000000"/>
          <w:sz w:val="24"/>
          <w:szCs w:val="24"/>
        </w:rPr>
        <w:t>2010</w:t>
      </w:r>
      <w:r w:rsidR="00062FFD" w:rsidRPr="004B502E">
        <w:rPr>
          <w:rFonts w:ascii="Times New Roman" w:hAnsi="Times New Roman" w:cs="Times New Roman"/>
          <w:color w:val="000000"/>
          <w:sz w:val="24"/>
          <w:szCs w:val="24"/>
        </w:rPr>
        <w:t>)</w:t>
      </w:r>
      <w:r w:rsidRPr="004B502E">
        <w:rPr>
          <w:rFonts w:ascii="Times New Roman" w:hAnsi="Times New Roman" w:cs="Times New Roman"/>
          <w:color w:val="000000"/>
          <w:sz w:val="24"/>
          <w:szCs w:val="24"/>
        </w:rPr>
        <w:t xml:space="preserve"> evaluated the effect of not only t</w:t>
      </w:r>
      <w:r w:rsidR="00062FFD" w:rsidRPr="004B502E">
        <w:rPr>
          <w:rFonts w:ascii="Times New Roman" w:hAnsi="Times New Roman" w:cs="Times New Roman"/>
          <w:color w:val="000000"/>
          <w:sz w:val="24"/>
          <w:szCs w:val="24"/>
        </w:rPr>
        <w:t xml:space="preserve">he </w:t>
      </w:r>
      <w:r w:rsidR="00DC0077">
        <w:rPr>
          <w:rFonts w:ascii="Times New Roman" w:hAnsi="Times New Roman" w:cs="Times New Roman"/>
          <w:color w:val="000000"/>
          <w:sz w:val="24"/>
          <w:szCs w:val="24"/>
        </w:rPr>
        <w:t xml:space="preserve">financial </w:t>
      </w:r>
      <w:r w:rsidR="00062FFD" w:rsidRPr="004B502E">
        <w:rPr>
          <w:rFonts w:ascii="Times New Roman" w:hAnsi="Times New Roman" w:cs="Times New Roman"/>
          <w:color w:val="000000"/>
          <w:sz w:val="24"/>
          <w:szCs w:val="24"/>
        </w:rPr>
        <w:t>crisis of 2008, but also the Asian financial crisis of 1997 on the performance of Islamic and conventional ba</w:t>
      </w:r>
      <w:r w:rsidR="00AE70EE" w:rsidRPr="004B502E">
        <w:rPr>
          <w:rFonts w:ascii="Times New Roman" w:hAnsi="Times New Roman" w:cs="Times New Roman"/>
          <w:color w:val="000000"/>
          <w:sz w:val="24"/>
          <w:szCs w:val="24"/>
        </w:rPr>
        <w:t xml:space="preserve">nks of Malaysia. </w:t>
      </w:r>
      <w:r w:rsidR="00B6176C" w:rsidRPr="004B502E">
        <w:rPr>
          <w:rFonts w:ascii="Times New Roman" w:hAnsi="Times New Roman" w:cs="Times New Roman"/>
          <w:color w:val="000000"/>
          <w:sz w:val="24"/>
          <w:szCs w:val="24"/>
        </w:rPr>
        <w:t>The a</w:t>
      </w:r>
      <w:r w:rsidR="00AE70EE" w:rsidRPr="004B502E">
        <w:rPr>
          <w:rFonts w:ascii="Times New Roman" w:hAnsi="Times New Roman" w:cs="Times New Roman"/>
          <w:color w:val="000000"/>
          <w:sz w:val="24"/>
          <w:szCs w:val="24"/>
        </w:rPr>
        <w:t>uthors split</w:t>
      </w:r>
      <w:r w:rsidR="00062FFD" w:rsidRPr="004B502E">
        <w:rPr>
          <w:rFonts w:ascii="Times New Roman" w:hAnsi="Times New Roman" w:cs="Times New Roman"/>
          <w:color w:val="000000"/>
          <w:sz w:val="24"/>
          <w:szCs w:val="24"/>
        </w:rPr>
        <w:t xml:space="preserve"> the monthly data obtained from Malaysian Islamic and conventional ban</w:t>
      </w:r>
      <w:r w:rsidR="00AE70EE" w:rsidRPr="004B502E">
        <w:rPr>
          <w:rFonts w:ascii="Times New Roman" w:hAnsi="Times New Roman" w:cs="Times New Roman"/>
          <w:color w:val="000000"/>
          <w:sz w:val="24"/>
          <w:szCs w:val="24"/>
        </w:rPr>
        <w:t>ks from 1997 to 2009 into three</w:t>
      </w:r>
      <w:r w:rsidR="00B6176C" w:rsidRPr="004B502E">
        <w:rPr>
          <w:rFonts w:ascii="Times New Roman" w:hAnsi="Times New Roman" w:cs="Times New Roman"/>
          <w:color w:val="000000"/>
          <w:sz w:val="24"/>
          <w:szCs w:val="24"/>
        </w:rPr>
        <w:t>;</w:t>
      </w:r>
      <w:r w:rsidR="00062FFD" w:rsidRPr="004B502E">
        <w:rPr>
          <w:rFonts w:ascii="Times New Roman" w:hAnsi="Times New Roman" w:cs="Times New Roman"/>
          <w:color w:val="000000"/>
          <w:sz w:val="24"/>
          <w:szCs w:val="24"/>
        </w:rPr>
        <w:t xml:space="preserve"> namely </w:t>
      </w:r>
      <w:r w:rsidR="00DF7917">
        <w:rPr>
          <w:rFonts w:ascii="Times New Roman" w:hAnsi="Times New Roman" w:cs="Times New Roman"/>
          <w:color w:val="000000"/>
          <w:sz w:val="24"/>
          <w:szCs w:val="24"/>
        </w:rPr>
        <w:t xml:space="preserve">the </w:t>
      </w:r>
      <w:r w:rsidR="00062FFD" w:rsidRPr="004B502E">
        <w:rPr>
          <w:rFonts w:ascii="Times New Roman" w:hAnsi="Times New Roman" w:cs="Times New Roman"/>
          <w:color w:val="000000"/>
          <w:sz w:val="24"/>
          <w:szCs w:val="24"/>
        </w:rPr>
        <w:t xml:space="preserve">1997 crisis period, </w:t>
      </w:r>
      <w:r w:rsidR="00DF7917">
        <w:rPr>
          <w:rFonts w:ascii="Times New Roman" w:hAnsi="Times New Roman" w:cs="Times New Roman"/>
          <w:color w:val="000000"/>
          <w:sz w:val="24"/>
          <w:szCs w:val="24"/>
        </w:rPr>
        <w:t xml:space="preserve">the </w:t>
      </w:r>
      <w:r w:rsidR="00062FFD" w:rsidRPr="004B502E">
        <w:rPr>
          <w:rFonts w:ascii="Times New Roman" w:hAnsi="Times New Roman" w:cs="Times New Roman"/>
          <w:color w:val="000000"/>
          <w:sz w:val="24"/>
          <w:szCs w:val="24"/>
        </w:rPr>
        <w:t xml:space="preserve">non-crisis period, and the </w:t>
      </w:r>
      <w:r w:rsidR="00DF7917" w:rsidRPr="004B502E">
        <w:rPr>
          <w:rFonts w:ascii="Times New Roman" w:hAnsi="Times New Roman" w:cs="Times New Roman"/>
          <w:color w:val="000000"/>
          <w:sz w:val="24"/>
          <w:szCs w:val="24"/>
        </w:rPr>
        <w:t>200</w:t>
      </w:r>
      <w:r w:rsidR="00DF7917">
        <w:rPr>
          <w:rFonts w:ascii="Times New Roman" w:hAnsi="Times New Roman" w:cs="Times New Roman"/>
          <w:color w:val="000000"/>
          <w:sz w:val="24"/>
          <w:szCs w:val="24"/>
        </w:rPr>
        <w:t>8</w:t>
      </w:r>
      <w:r w:rsidR="00DF7917" w:rsidRPr="004B502E">
        <w:rPr>
          <w:rFonts w:ascii="Times New Roman" w:hAnsi="Times New Roman" w:cs="Times New Roman"/>
          <w:color w:val="000000"/>
          <w:sz w:val="24"/>
          <w:szCs w:val="24"/>
        </w:rPr>
        <w:t xml:space="preserve"> </w:t>
      </w:r>
      <w:r w:rsidR="00062FFD" w:rsidRPr="004B502E">
        <w:rPr>
          <w:rFonts w:ascii="Times New Roman" w:hAnsi="Times New Roman" w:cs="Times New Roman"/>
          <w:color w:val="000000"/>
          <w:sz w:val="24"/>
          <w:szCs w:val="24"/>
        </w:rPr>
        <w:t>crisis period</w:t>
      </w:r>
      <w:r w:rsidR="00676216" w:rsidRPr="004B502E">
        <w:rPr>
          <w:rFonts w:ascii="Times New Roman" w:hAnsi="Times New Roman" w:cs="Times New Roman"/>
          <w:color w:val="000000"/>
          <w:sz w:val="24"/>
          <w:szCs w:val="24"/>
        </w:rPr>
        <w:t xml:space="preserve">. During each of those periods </w:t>
      </w:r>
      <w:r w:rsidR="00062FFD" w:rsidRPr="004B502E">
        <w:rPr>
          <w:rFonts w:ascii="Times New Roman" w:hAnsi="Times New Roman" w:cs="Times New Roman"/>
          <w:color w:val="000000"/>
          <w:sz w:val="24"/>
          <w:szCs w:val="24"/>
        </w:rPr>
        <w:t xml:space="preserve">the performance of </w:t>
      </w:r>
      <w:r w:rsidR="00DF7917">
        <w:rPr>
          <w:rFonts w:ascii="Times New Roman" w:hAnsi="Times New Roman" w:cs="Times New Roman"/>
          <w:color w:val="000000"/>
          <w:sz w:val="24"/>
          <w:szCs w:val="24"/>
        </w:rPr>
        <w:t xml:space="preserve">the </w:t>
      </w:r>
      <w:r w:rsidR="00062FFD" w:rsidRPr="004B502E">
        <w:rPr>
          <w:rFonts w:ascii="Times New Roman" w:hAnsi="Times New Roman" w:cs="Times New Roman"/>
          <w:color w:val="000000"/>
          <w:sz w:val="24"/>
          <w:szCs w:val="24"/>
        </w:rPr>
        <w:t xml:space="preserve">banks </w:t>
      </w:r>
      <w:r w:rsidR="00DF7917" w:rsidRPr="004B502E">
        <w:rPr>
          <w:rFonts w:ascii="Times New Roman" w:hAnsi="Times New Roman" w:cs="Times New Roman"/>
          <w:color w:val="000000"/>
          <w:sz w:val="24"/>
          <w:szCs w:val="24"/>
        </w:rPr>
        <w:t>w</w:t>
      </w:r>
      <w:r w:rsidR="00DF7917">
        <w:rPr>
          <w:rFonts w:ascii="Times New Roman" w:hAnsi="Times New Roman" w:cs="Times New Roman"/>
          <w:color w:val="000000"/>
          <w:sz w:val="24"/>
          <w:szCs w:val="24"/>
        </w:rPr>
        <w:t>as</w:t>
      </w:r>
      <w:r w:rsidR="00DF7917" w:rsidRPr="004B502E">
        <w:rPr>
          <w:rFonts w:ascii="Times New Roman" w:hAnsi="Times New Roman" w:cs="Times New Roman"/>
          <w:color w:val="000000"/>
          <w:sz w:val="24"/>
          <w:szCs w:val="24"/>
        </w:rPr>
        <w:t xml:space="preserve"> </w:t>
      </w:r>
      <w:r w:rsidR="00676216" w:rsidRPr="004B502E">
        <w:rPr>
          <w:rFonts w:ascii="Times New Roman" w:hAnsi="Times New Roman" w:cs="Times New Roman"/>
          <w:color w:val="000000"/>
          <w:sz w:val="24"/>
          <w:szCs w:val="24"/>
        </w:rPr>
        <w:t>c</w:t>
      </w:r>
      <w:r w:rsidR="00062FFD" w:rsidRPr="004B502E">
        <w:rPr>
          <w:rFonts w:ascii="Times New Roman" w:hAnsi="Times New Roman" w:cs="Times New Roman"/>
          <w:color w:val="000000"/>
          <w:sz w:val="24"/>
          <w:szCs w:val="24"/>
        </w:rPr>
        <w:t xml:space="preserve">ompared, and as a result, </w:t>
      </w:r>
      <w:r w:rsidR="00B6176C" w:rsidRPr="004B502E">
        <w:rPr>
          <w:rFonts w:ascii="Times New Roman" w:hAnsi="Times New Roman" w:cs="Times New Roman"/>
          <w:color w:val="000000"/>
          <w:sz w:val="24"/>
          <w:szCs w:val="24"/>
        </w:rPr>
        <w:t xml:space="preserve">the </w:t>
      </w:r>
      <w:r w:rsidR="00062FFD" w:rsidRPr="004B502E">
        <w:rPr>
          <w:rFonts w:ascii="Times New Roman" w:hAnsi="Times New Roman" w:cs="Times New Roman"/>
          <w:color w:val="000000"/>
          <w:sz w:val="24"/>
          <w:szCs w:val="24"/>
        </w:rPr>
        <w:t>authors conclu</w:t>
      </w:r>
      <w:r w:rsidR="00676216" w:rsidRPr="004B502E">
        <w:rPr>
          <w:rFonts w:ascii="Times New Roman" w:hAnsi="Times New Roman" w:cs="Times New Roman"/>
          <w:color w:val="000000"/>
          <w:sz w:val="24"/>
          <w:szCs w:val="24"/>
        </w:rPr>
        <w:t>de</w:t>
      </w:r>
      <w:r w:rsidRPr="004B502E">
        <w:rPr>
          <w:rFonts w:ascii="Times New Roman" w:hAnsi="Times New Roman" w:cs="Times New Roman"/>
          <w:color w:val="000000"/>
          <w:sz w:val="24"/>
          <w:szCs w:val="24"/>
        </w:rPr>
        <w:t>d</w:t>
      </w:r>
      <w:r w:rsidR="00062FFD" w:rsidRPr="004B502E">
        <w:rPr>
          <w:rFonts w:ascii="Times New Roman" w:hAnsi="Times New Roman" w:cs="Times New Roman"/>
          <w:color w:val="000000"/>
          <w:sz w:val="24"/>
          <w:szCs w:val="24"/>
        </w:rPr>
        <w:t xml:space="preserve"> that both bank</w:t>
      </w:r>
      <w:r w:rsidR="00DF7917">
        <w:rPr>
          <w:rFonts w:ascii="Times New Roman" w:hAnsi="Times New Roman" w:cs="Times New Roman"/>
          <w:color w:val="000000"/>
          <w:sz w:val="24"/>
          <w:szCs w:val="24"/>
        </w:rPr>
        <w:t>ing systems</w:t>
      </w:r>
      <w:r w:rsidR="00062FFD" w:rsidRPr="004B502E">
        <w:rPr>
          <w:rFonts w:ascii="Times New Roman" w:hAnsi="Times New Roman" w:cs="Times New Roman"/>
          <w:color w:val="000000"/>
          <w:sz w:val="24"/>
          <w:szCs w:val="24"/>
        </w:rPr>
        <w:t xml:space="preserve"> are vulnerable to economic shocks and recessions. </w:t>
      </w:r>
    </w:p>
    <w:p w:rsidR="00635235" w:rsidRDefault="005A2A0F" w:rsidP="00FC241D">
      <w:pPr>
        <w:spacing w:line="480" w:lineRule="auto"/>
        <w:rPr>
          <w:rFonts w:ascii="Times New Roman" w:hAnsi="Times New Roman" w:cs="Times New Roman"/>
          <w:color w:val="000000"/>
          <w:sz w:val="24"/>
          <w:szCs w:val="24"/>
        </w:rPr>
      </w:pPr>
      <w:r w:rsidRPr="004B502E">
        <w:rPr>
          <w:rFonts w:ascii="Times New Roman" w:hAnsi="Times New Roman" w:cs="Times New Roman"/>
          <w:color w:val="000000"/>
          <w:sz w:val="24"/>
          <w:szCs w:val="24"/>
        </w:rPr>
        <w:tab/>
        <w:t xml:space="preserve">In the present study, by </w:t>
      </w:r>
      <w:r w:rsidR="00DF7917">
        <w:rPr>
          <w:rFonts w:ascii="Times New Roman" w:hAnsi="Times New Roman" w:cs="Times New Roman"/>
          <w:color w:val="000000"/>
          <w:sz w:val="24"/>
          <w:szCs w:val="24"/>
        </w:rPr>
        <w:t>us</w:t>
      </w:r>
      <w:r w:rsidR="00DF7917" w:rsidRPr="004B502E">
        <w:rPr>
          <w:rFonts w:ascii="Times New Roman" w:hAnsi="Times New Roman" w:cs="Times New Roman"/>
          <w:color w:val="000000"/>
          <w:sz w:val="24"/>
          <w:szCs w:val="24"/>
        </w:rPr>
        <w:t xml:space="preserve">ing </w:t>
      </w:r>
      <w:r w:rsidRPr="004B502E">
        <w:rPr>
          <w:rFonts w:ascii="Times New Roman" w:hAnsi="Times New Roman" w:cs="Times New Roman"/>
          <w:color w:val="000000"/>
          <w:sz w:val="24"/>
          <w:szCs w:val="24"/>
        </w:rPr>
        <w:t xml:space="preserve">data obtained from all </w:t>
      </w:r>
      <w:r w:rsidR="00852351">
        <w:rPr>
          <w:rFonts w:ascii="Times New Roman" w:hAnsi="Times New Roman" w:cs="Times New Roman"/>
          <w:color w:val="000000"/>
          <w:sz w:val="24"/>
          <w:szCs w:val="24"/>
        </w:rPr>
        <w:t>Islamic banks</w:t>
      </w:r>
      <w:r w:rsidRPr="004B502E">
        <w:rPr>
          <w:rFonts w:ascii="Times New Roman" w:hAnsi="Times New Roman" w:cs="Times New Roman"/>
          <w:color w:val="000000"/>
          <w:sz w:val="24"/>
          <w:szCs w:val="24"/>
        </w:rPr>
        <w:t xml:space="preserve"> of Malaysia</w:t>
      </w:r>
      <w:r w:rsidR="00E1492D" w:rsidRPr="004B502E">
        <w:rPr>
          <w:rFonts w:ascii="Times New Roman" w:hAnsi="Times New Roman" w:cs="Times New Roman"/>
          <w:color w:val="000000"/>
          <w:sz w:val="24"/>
          <w:szCs w:val="24"/>
        </w:rPr>
        <w:t xml:space="preserve"> for the period from 2005 to 2011</w:t>
      </w:r>
      <w:r w:rsidRPr="004B502E">
        <w:rPr>
          <w:rFonts w:ascii="Times New Roman" w:hAnsi="Times New Roman" w:cs="Times New Roman"/>
          <w:color w:val="000000"/>
          <w:sz w:val="24"/>
          <w:szCs w:val="24"/>
        </w:rPr>
        <w:t xml:space="preserve">, we </w:t>
      </w:r>
      <w:r w:rsidR="00DF7917">
        <w:rPr>
          <w:rFonts w:ascii="Times New Roman" w:hAnsi="Times New Roman" w:cs="Times New Roman"/>
          <w:color w:val="000000"/>
          <w:sz w:val="24"/>
          <w:szCs w:val="24"/>
        </w:rPr>
        <w:t>will</w:t>
      </w:r>
      <w:r w:rsidR="00DF7917" w:rsidRPr="004B502E">
        <w:rPr>
          <w:rFonts w:ascii="Times New Roman" w:hAnsi="Times New Roman" w:cs="Times New Roman"/>
          <w:color w:val="000000"/>
          <w:sz w:val="24"/>
          <w:szCs w:val="24"/>
        </w:rPr>
        <w:t xml:space="preserve"> </w:t>
      </w:r>
      <w:r w:rsidRPr="004B502E">
        <w:rPr>
          <w:rFonts w:ascii="Times New Roman" w:hAnsi="Times New Roman" w:cs="Times New Roman"/>
          <w:color w:val="000000"/>
          <w:sz w:val="24"/>
          <w:szCs w:val="24"/>
        </w:rPr>
        <w:t>be</w:t>
      </w:r>
      <w:r w:rsidR="009065DF" w:rsidRPr="004B502E">
        <w:rPr>
          <w:rFonts w:ascii="Times New Roman" w:hAnsi="Times New Roman" w:cs="Times New Roman"/>
          <w:color w:val="000000"/>
          <w:sz w:val="24"/>
          <w:szCs w:val="24"/>
        </w:rPr>
        <w:t xml:space="preserve"> able to analyze </w:t>
      </w:r>
      <w:r w:rsidR="009927C3" w:rsidRPr="004B502E">
        <w:rPr>
          <w:rFonts w:ascii="Times New Roman" w:hAnsi="Times New Roman" w:cs="Times New Roman"/>
          <w:color w:val="000000"/>
          <w:sz w:val="24"/>
          <w:szCs w:val="24"/>
        </w:rPr>
        <w:t xml:space="preserve">the effect of the </w:t>
      </w:r>
      <w:r w:rsidR="00DC0077">
        <w:rPr>
          <w:rFonts w:ascii="Times New Roman" w:hAnsi="Times New Roman" w:cs="Times New Roman"/>
          <w:color w:val="000000"/>
          <w:sz w:val="24"/>
          <w:szCs w:val="24"/>
        </w:rPr>
        <w:t xml:space="preserve">financial </w:t>
      </w:r>
      <w:r w:rsidR="009927C3" w:rsidRPr="004B502E">
        <w:rPr>
          <w:rFonts w:ascii="Times New Roman" w:hAnsi="Times New Roman" w:cs="Times New Roman"/>
          <w:color w:val="000000"/>
          <w:sz w:val="24"/>
          <w:szCs w:val="24"/>
        </w:rPr>
        <w:t>crisis of 2008</w:t>
      </w:r>
      <w:r w:rsidR="00E1492D" w:rsidRPr="004B502E">
        <w:rPr>
          <w:rFonts w:ascii="Times New Roman" w:hAnsi="Times New Roman" w:cs="Times New Roman"/>
          <w:color w:val="000000"/>
          <w:sz w:val="24"/>
          <w:szCs w:val="24"/>
        </w:rPr>
        <w:t xml:space="preserve"> not only on the performance of those banks, but also </w:t>
      </w:r>
      <w:r w:rsidR="00B6176C" w:rsidRPr="004B502E">
        <w:rPr>
          <w:rFonts w:ascii="Times New Roman" w:hAnsi="Times New Roman" w:cs="Times New Roman"/>
          <w:color w:val="000000"/>
          <w:sz w:val="24"/>
          <w:szCs w:val="24"/>
        </w:rPr>
        <w:t xml:space="preserve">on </w:t>
      </w:r>
      <w:r w:rsidR="00E1492D" w:rsidRPr="004B502E">
        <w:rPr>
          <w:rFonts w:ascii="Times New Roman" w:hAnsi="Times New Roman" w:cs="Times New Roman"/>
          <w:color w:val="000000"/>
          <w:sz w:val="24"/>
          <w:szCs w:val="24"/>
        </w:rPr>
        <w:t>relationship between internal</w:t>
      </w:r>
      <w:r w:rsidR="00DF7917">
        <w:rPr>
          <w:rFonts w:ascii="Times New Roman" w:hAnsi="Times New Roman" w:cs="Times New Roman"/>
          <w:color w:val="000000"/>
          <w:sz w:val="24"/>
          <w:szCs w:val="24"/>
        </w:rPr>
        <w:t xml:space="preserve"> and </w:t>
      </w:r>
      <w:r w:rsidR="00E1492D" w:rsidRPr="004B502E">
        <w:rPr>
          <w:rFonts w:ascii="Times New Roman" w:hAnsi="Times New Roman" w:cs="Times New Roman"/>
          <w:color w:val="000000"/>
          <w:sz w:val="24"/>
          <w:szCs w:val="24"/>
        </w:rPr>
        <w:t xml:space="preserve">external ratios and performance. </w:t>
      </w:r>
    </w:p>
    <w:p w:rsidR="00635235" w:rsidRDefault="00635235" w:rsidP="00FC241D">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In the light of the findings obtained from abovementioned studies, the following hypothesis will be tested in the study:</w:t>
      </w:r>
    </w:p>
    <w:p w:rsidR="00635235" w:rsidRPr="00635235" w:rsidRDefault="00635235" w:rsidP="00635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sidRPr="00635235">
        <w:rPr>
          <w:rFonts w:ascii="Times New Roman" w:hAnsi="Times New Roman" w:cs="Times New Roman"/>
          <w:sz w:val="24"/>
          <w:szCs w:val="24"/>
        </w:rPr>
        <w:t xml:space="preserve">H1: The capital ratio (EQTA), the liquidity ratio (LTA), the bank ownership variable (OWN), bank size (SIZE), the annual GDP of the country (GDP), the annual inflation rate of the country (INF), and the annual money supply in the country (MS) will have a positive effect on the performance (ROA) of Islamic banks. </w:t>
      </w:r>
    </w:p>
    <w:p w:rsidR="00635235" w:rsidRDefault="00635235" w:rsidP="006352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Segoe Print" w:hAnsi="Segoe Print" w:cs="Segoe Print"/>
        </w:rPr>
      </w:pPr>
      <w:r>
        <w:rPr>
          <w:rFonts w:ascii="Times New Roman" w:hAnsi="Times New Roman" w:cs="Times New Roman"/>
          <w:sz w:val="24"/>
          <w:szCs w:val="24"/>
        </w:rPr>
        <w:tab/>
      </w:r>
      <w:r>
        <w:rPr>
          <w:rFonts w:ascii="Times New Roman" w:hAnsi="Times New Roman" w:cs="Times New Roman"/>
          <w:sz w:val="24"/>
          <w:szCs w:val="24"/>
        </w:rPr>
        <w:tab/>
      </w:r>
      <w:r w:rsidRPr="00635235">
        <w:rPr>
          <w:rFonts w:ascii="Times New Roman" w:hAnsi="Times New Roman" w:cs="Times New Roman"/>
          <w:sz w:val="24"/>
          <w:szCs w:val="24"/>
        </w:rPr>
        <w:t>H2: The efficiency ratio (EXTA) and the taxation indicator variable (TAX) will have a negative effect on the performance (ROA) of Islamic banks.</w:t>
      </w:r>
      <w:r w:rsidRPr="00635235">
        <w:rPr>
          <w:rFonts w:ascii="Times New Roman" w:hAnsi="Times New Roman" w:cs="Times New Roman"/>
        </w:rPr>
        <w:t xml:space="preserve"> </w:t>
      </w:r>
    </w:p>
    <w:p w:rsidR="003B7586" w:rsidRDefault="00635235" w:rsidP="00635235">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These hypotheses will be tested using the stepwise multiple regression analysis. Further, for evaluating the robustness of results obtained </w:t>
      </w:r>
      <w:r w:rsidR="00850E7B">
        <w:rPr>
          <w:rFonts w:ascii="Times New Roman" w:hAnsi="Times New Roman" w:cs="Times New Roman"/>
          <w:color w:val="000000"/>
          <w:sz w:val="24"/>
          <w:szCs w:val="24"/>
        </w:rPr>
        <w:t xml:space="preserve">from the previous regression analysis, </w:t>
      </w:r>
      <w:r>
        <w:rPr>
          <w:rFonts w:ascii="Times New Roman" w:hAnsi="Times New Roman" w:cs="Times New Roman"/>
          <w:color w:val="000000"/>
          <w:sz w:val="24"/>
          <w:szCs w:val="24"/>
        </w:rPr>
        <w:t>the bank maturity (AGE) and the crisis variable (Crisis</w:t>
      </w:r>
      <w:r w:rsidR="00C61B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2008) will be </w:t>
      </w:r>
      <w:r w:rsidR="00850E7B">
        <w:rPr>
          <w:rFonts w:ascii="Times New Roman" w:hAnsi="Times New Roman" w:cs="Times New Roman"/>
          <w:color w:val="000000"/>
          <w:sz w:val="24"/>
          <w:szCs w:val="24"/>
        </w:rPr>
        <w:t xml:space="preserve">used as the moderator variables in the MMR analysis. The description of the variables and the explanation of the statistical analysis are presented in the methodology section of the study. </w:t>
      </w:r>
    </w:p>
    <w:p w:rsidR="00DF7917" w:rsidRDefault="00635235">
      <w:pPr>
        <w:rPr>
          <w:rFonts w:ascii="Times New Roman" w:hAnsi="Times New Roman" w:cs="Times New Roman"/>
          <w:color w:val="000000"/>
          <w:sz w:val="24"/>
          <w:szCs w:val="24"/>
        </w:rPr>
      </w:pPr>
      <w:r>
        <w:rPr>
          <w:rFonts w:ascii="Times New Roman" w:hAnsi="Times New Roman" w:cs="Times New Roman"/>
          <w:color w:val="000000"/>
          <w:sz w:val="24"/>
          <w:szCs w:val="24"/>
        </w:rPr>
        <w:tab/>
      </w:r>
      <w:r w:rsidR="00DF7917">
        <w:rPr>
          <w:rFonts w:ascii="Times New Roman" w:hAnsi="Times New Roman" w:cs="Times New Roman"/>
          <w:color w:val="000000"/>
          <w:sz w:val="24"/>
          <w:szCs w:val="24"/>
        </w:rPr>
        <w:br w:type="page"/>
      </w:r>
    </w:p>
    <w:p w:rsidR="008F0E41" w:rsidRPr="001D4AB4" w:rsidRDefault="0078797A" w:rsidP="001D4AB4">
      <w:pPr>
        <w:pStyle w:val="Heading1"/>
        <w:spacing w:line="480" w:lineRule="auto"/>
        <w:jc w:val="center"/>
        <w:rPr>
          <w:rFonts w:ascii="Times New Roman" w:hAnsi="Times New Roman" w:cs="Times New Roman"/>
          <w:color w:val="auto"/>
          <w:sz w:val="24"/>
        </w:rPr>
      </w:pPr>
      <w:bookmarkStart w:id="15" w:name="_Toc346718434"/>
      <w:r w:rsidRPr="001D4AB4">
        <w:rPr>
          <w:rFonts w:ascii="Times New Roman" w:hAnsi="Times New Roman" w:cs="Times New Roman"/>
          <w:color w:val="auto"/>
          <w:sz w:val="24"/>
        </w:rPr>
        <w:t>3</w:t>
      </w:r>
      <w:r w:rsidR="003A472C" w:rsidRPr="001D4AB4">
        <w:rPr>
          <w:rFonts w:ascii="Times New Roman" w:hAnsi="Times New Roman" w:cs="Times New Roman"/>
          <w:color w:val="auto"/>
          <w:sz w:val="24"/>
        </w:rPr>
        <w:t>.0</w:t>
      </w:r>
      <w:r w:rsidR="00FC548C" w:rsidRPr="001D4AB4">
        <w:rPr>
          <w:rFonts w:ascii="Times New Roman" w:hAnsi="Times New Roman" w:cs="Times New Roman"/>
          <w:color w:val="auto"/>
          <w:sz w:val="24"/>
        </w:rPr>
        <w:t>.</w:t>
      </w:r>
      <w:r w:rsidRPr="001D4AB4">
        <w:rPr>
          <w:rFonts w:ascii="Times New Roman" w:hAnsi="Times New Roman" w:cs="Times New Roman"/>
          <w:color w:val="auto"/>
          <w:sz w:val="24"/>
        </w:rPr>
        <w:t xml:space="preserve"> </w:t>
      </w:r>
      <w:r w:rsidR="003A472C" w:rsidRPr="001D4AB4">
        <w:rPr>
          <w:rFonts w:ascii="Times New Roman" w:hAnsi="Times New Roman" w:cs="Times New Roman"/>
          <w:color w:val="auto"/>
          <w:sz w:val="24"/>
        </w:rPr>
        <w:t>Methodology</w:t>
      </w:r>
      <w:bookmarkEnd w:id="15"/>
    </w:p>
    <w:p w:rsidR="008F0E41" w:rsidRPr="001D4AB4" w:rsidRDefault="000D249E" w:rsidP="001D4AB4">
      <w:pPr>
        <w:pStyle w:val="Heading2"/>
        <w:spacing w:line="480" w:lineRule="auto"/>
        <w:rPr>
          <w:rStyle w:val="apple-style-span"/>
          <w:rFonts w:ascii="Times New Roman" w:hAnsi="Times New Roman" w:cs="Times New Roman"/>
          <w:b w:val="0"/>
          <w:sz w:val="24"/>
          <w:szCs w:val="24"/>
          <w:shd w:val="clear" w:color="auto" w:fill="FFFFFF"/>
        </w:rPr>
      </w:pPr>
      <w:r w:rsidRPr="004B502E">
        <w:rPr>
          <w:rStyle w:val="apple-style-span"/>
          <w:rFonts w:ascii="Times New Roman" w:hAnsi="Times New Roman" w:cs="Times New Roman"/>
          <w:b w:val="0"/>
          <w:sz w:val="24"/>
          <w:szCs w:val="24"/>
          <w:shd w:val="clear" w:color="auto" w:fill="FFFFFF"/>
        </w:rPr>
        <w:t xml:space="preserve"> </w:t>
      </w:r>
      <w:bookmarkStart w:id="16" w:name="_Toc346718435"/>
      <w:r w:rsidR="0078797A" w:rsidRPr="001D4AB4">
        <w:rPr>
          <w:rFonts w:ascii="Times New Roman" w:hAnsi="Times New Roman" w:cs="Times New Roman"/>
          <w:color w:val="auto"/>
          <w:sz w:val="24"/>
        </w:rPr>
        <w:t>3.1</w:t>
      </w:r>
      <w:r w:rsidR="001D4AB4">
        <w:rPr>
          <w:rFonts w:ascii="Times New Roman" w:hAnsi="Times New Roman" w:cs="Times New Roman"/>
          <w:color w:val="auto"/>
          <w:sz w:val="24"/>
        </w:rPr>
        <w:t>.</w:t>
      </w:r>
      <w:r w:rsidR="0078797A" w:rsidRPr="001D4AB4">
        <w:rPr>
          <w:rFonts w:ascii="Times New Roman" w:hAnsi="Times New Roman" w:cs="Times New Roman"/>
          <w:color w:val="auto"/>
          <w:sz w:val="24"/>
        </w:rPr>
        <w:t xml:space="preserve"> Data and Procedure</w:t>
      </w:r>
      <w:r w:rsidR="00DF7917">
        <w:rPr>
          <w:rFonts w:ascii="Times New Roman" w:hAnsi="Times New Roman" w:cs="Times New Roman"/>
          <w:color w:val="auto"/>
          <w:sz w:val="24"/>
        </w:rPr>
        <w:t>s</w:t>
      </w:r>
      <w:bookmarkEnd w:id="16"/>
    </w:p>
    <w:p w:rsidR="0078797A" w:rsidRPr="004B502E" w:rsidRDefault="0078797A" w:rsidP="0078797A">
      <w:pPr>
        <w:spacing w:line="480" w:lineRule="auto"/>
        <w:ind w:firstLine="720"/>
        <w:rPr>
          <w:rFonts w:ascii="Times New Roman" w:hAnsi="Times New Roman" w:cs="Times New Roman"/>
          <w:sz w:val="24"/>
          <w:szCs w:val="24"/>
        </w:rPr>
      </w:pPr>
      <w:r w:rsidRPr="004B502E">
        <w:rPr>
          <w:rFonts w:ascii="Times New Roman" w:hAnsi="Times New Roman" w:cs="Times New Roman"/>
          <w:sz w:val="24"/>
          <w:szCs w:val="24"/>
        </w:rPr>
        <w:t xml:space="preserve">Data used in this study </w:t>
      </w:r>
      <w:r w:rsidR="00DF7917">
        <w:rPr>
          <w:rFonts w:ascii="Times New Roman" w:hAnsi="Times New Roman" w:cs="Times New Roman"/>
          <w:sz w:val="24"/>
          <w:szCs w:val="24"/>
        </w:rPr>
        <w:t>are</w:t>
      </w:r>
      <w:r w:rsidR="00DF7917" w:rsidRPr="004B502E">
        <w:rPr>
          <w:rFonts w:ascii="Times New Roman" w:hAnsi="Times New Roman" w:cs="Times New Roman"/>
          <w:sz w:val="24"/>
          <w:szCs w:val="24"/>
        </w:rPr>
        <w:t xml:space="preserve"> </w:t>
      </w:r>
      <w:r w:rsidRPr="004B502E">
        <w:rPr>
          <w:rFonts w:ascii="Times New Roman" w:hAnsi="Times New Roman" w:cs="Times New Roman"/>
          <w:sz w:val="24"/>
          <w:szCs w:val="24"/>
        </w:rPr>
        <w:t xml:space="preserve">comprised of panel data collected from all 16 </w:t>
      </w:r>
      <w:r w:rsidR="009342E4">
        <w:rPr>
          <w:rFonts w:ascii="Times New Roman" w:hAnsi="Times New Roman" w:cs="Times New Roman"/>
          <w:sz w:val="24"/>
          <w:szCs w:val="24"/>
        </w:rPr>
        <w:t xml:space="preserve">currently operating </w:t>
      </w:r>
      <w:r w:rsidR="00852351">
        <w:rPr>
          <w:rFonts w:ascii="Times New Roman" w:hAnsi="Times New Roman" w:cs="Times New Roman"/>
          <w:sz w:val="24"/>
          <w:szCs w:val="24"/>
        </w:rPr>
        <w:t>Islamic banks</w:t>
      </w:r>
      <w:r w:rsidRPr="004B502E">
        <w:rPr>
          <w:rFonts w:ascii="Times New Roman" w:hAnsi="Times New Roman" w:cs="Times New Roman"/>
          <w:sz w:val="24"/>
          <w:szCs w:val="24"/>
        </w:rPr>
        <w:t xml:space="preserve"> of Malaysia</w:t>
      </w:r>
      <w:r w:rsidR="009342E4">
        <w:rPr>
          <w:rFonts w:ascii="Times New Roman" w:hAnsi="Times New Roman" w:cs="Times New Roman"/>
          <w:sz w:val="24"/>
          <w:szCs w:val="24"/>
        </w:rPr>
        <w:t xml:space="preserve"> </w:t>
      </w:r>
      <w:r w:rsidRPr="004B502E">
        <w:rPr>
          <w:rFonts w:ascii="Times New Roman" w:hAnsi="Times New Roman" w:cs="Times New Roman"/>
          <w:sz w:val="24"/>
          <w:szCs w:val="24"/>
        </w:rPr>
        <w:t>for the time</w:t>
      </w:r>
      <w:r w:rsidR="00DF7917">
        <w:rPr>
          <w:rFonts w:ascii="Times New Roman" w:hAnsi="Times New Roman" w:cs="Times New Roman"/>
          <w:sz w:val="24"/>
          <w:szCs w:val="24"/>
        </w:rPr>
        <w:t xml:space="preserve"> </w:t>
      </w:r>
      <w:r w:rsidRPr="004B502E">
        <w:rPr>
          <w:rFonts w:ascii="Times New Roman" w:hAnsi="Times New Roman" w:cs="Times New Roman"/>
          <w:sz w:val="24"/>
          <w:szCs w:val="24"/>
        </w:rPr>
        <w:t xml:space="preserve">frame of 2005-2011. Data </w:t>
      </w:r>
      <w:r w:rsidR="009342E4">
        <w:rPr>
          <w:rFonts w:ascii="Times New Roman" w:hAnsi="Times New Roman" w:cs="Times New Roman"/>
          <w:sz w:val="24"/>
          <w:szCs w:val="24"/>
        </w:rPr>
        <w:t xml:space="preserve">on internal factors will be </w:t>
      </w:r>
      <w:r w:rsidRPr="004B502E">
        <w:rPr>
          <w:rFonts w:ascii="Times New Roman" w:hAnsi="Times New Roman" w:cs="Times New Roman"/>
          <w:sz w:val="24"/>
          <w:szCs w:val="24"/>
        </w:rPr>
        <w:t xml:space="preserve">collected from </w:t>
      </w:r>
      <w:r w:rsidR="00DF7917">
        <w:rPr>
          <w:rFonts w:ascii="Times New Roman" w:hAnsi="Times New Roman" w:cs="Times New Roman"/>
          <w:sz w:val="24"/>
          <w:szCs w:val="24"/>
        </w:rPr>
        <w:t xml:space="preserve">the </w:t>
      </w:r>
      <w:r w:rsidRPr="004B502E">
        <w:rPr>
          <w:rFonts w:ascii="Times New Roman" w:hAnsi="Times New Roman" w:cs="Times New Roman"/>
          <w:sz w:val="24"/>
          <w:szCs w:val="24"/>
        </w:rPr>
        <w:t xml:space="preserve">financial statements </w:t>
      </w:r>
      <w:r w:rsidR="009342E4">
        <w:rPr>
          <w:rFonts w:ascii="Times New Roman" w:hAnsi="Times New Roman" w:cs="Times New Roman"/>
          <w:sz w:val="24"/>
          <w:szCs w:val="24"/>
        </w:rPr>
        <w:t>and annual reports of each bank</w:t>
      </w:r>
      <w:r w:rsidR="00DF7917">
        <w:rPr>
          <w:rFonts w:ascii="Times New Roman" w:hAnsi="Times New Roman" w:cs="Times New Roman"/>
          <w:sz w:val="24"/>
          <w:szCs w:val="24"/>
        </w:rPr>
        <w:t>,</w:t>
      </w:r>
      <w:r w:rsidRPr="004B502E">
        <w:rPr>
          <w:rFonts w:ascii="Times New Roman" w:hAnsi="Times New Roman" w:cs="Times New Roman"/>
          <w:sz w:val="24"/>
          <w:szCs w:val="24"/>
        </w:rPr>
        <w:t xml:space="preserve"> obtained from their official websites. Completeness of data </w:t>
      </w:r>
      <w:r w:rsidR="00094C6B">
        <w:rPr>
          <w:rFonts w:ascii="Times New Roman" w:hAnsi="Times New Roman" w:cs="Times New Roman"/>
          <w:sz w:val="24"/>
          <w:szCs w:val="24"/>
        </w:rPr>
        <w:t xml:space="preserve">on internal factors </w:t>
      </w:r>
      <w:r w:rsidRPr="004B502E">
        <w:rPr>
          <w:rFonts w:ascii="Times New Roman" w:hAnsi="Times New Roman" w:cs="Times New Roman"/>
          <w:sz w:val="24"/>
          <w:szCs w:val="24"/>
        </w:rPr>
        <w:t xml:space="preserve">depends on </w:t>
      </w:r>
      <w:r w:rsidR="00DF7917">
        <w:rPr>
          <w:rFonts w:ascii="Times New Roman" w:hAnsi="Times New Roman" w:cs="Times New Roman"/>
          <w:sz w:val="24"/>
          <w:szCs w:val="24"/>
        </w:rPr>
        <w:t>the following</w:t>
      </w:r>
      <w:r w:rsidRPr="004B502E">
        <w:rPr>
          <w:rFonts w:ascii="Times New Roman" w:hAnsi="Times New Roman" w:cs="Times New Roman"/>
          <w:sz w:val="24"/>
          <w:szCs w:val="24"/>
        </w:rPr>
        <w:t>:</w:t>
      </w:r>
    </w:p>
    <w:p w:rsidR="0078797A" w:rsidRPr="004B502E" w:rsidRDefault="0078797A" w:rsidP="0078797A">
      <w:pPr>
        <w:pStyle w:val="ListParagraph"/>
        <w:numPr>
          <w:ilvl w:val="0"/>
          <w:numId w:val="18"/>
        </w:numPr>
        <w:spacing w:line="480" w:lineRule="auto"/>
        <w:rPr>
          <w:rFonts w:ascii="Times New Roman" w:hAnsi="Times New Roman" w:cs="Times New Roman"/>
          <w:sz w:val="24"/>
          <w:szCs w:val="24"/>
        </w:rPr>
      </w:pPr>
      <w:r w:rsidRPr="004B502E">
        <w:rPr>
          <w:rFonts w:ascii="Times New Roman" w:hAnsi="Times New Roman" w:cs="Times New Roman"/>
          <w:sz w:val="24"/>
          <w:szCs w:val="24"/>
        </w:rPr>
        <w:t xml:space="preserve">Some of the banks included in the analysis are new (or started Islamic banking operations very recently) and have financial reports for only a few years, and  </w:t>
      </w:r>
    </w:p>
    <w:p w:rsidR="0078797A" w:rsidRPr="004B502E" w:rsidRDefault="0078797A" w:rsidP="0078797A">
      <w:pPr>
        <w:pStyle w:val="ListParagraph"/>
        <w:numPr>
          <w:ilvl w:val="0"/>
          <w:numId w:val="18"/>
        </w:numPr>
        <w:spacing w:line="480" w:lineRule="auto"/>
        <w:rPr>
          <w:rFonts w:ascii="Times New Roman" w:hAnsi="Times New Roman" w:cs="Times New Roman"/>
          <w:sz w:val="24"/>
          <w:szCs w:val="24"/>
        </w:rPr>
      </w:pPr>
      <w:r w:rsidRPr="004B502E">
        <w:rPr>
          <w:rFonts w:ascii="Times New Roman" w:hAnsi="Times New Roman" w:cs="Times New Roman"/>
          <w:sz w:val="24"/>
          <w:szCs w:val="24"/>
        </w:rPr>
        <w:t>Some of the banks have not posted financial statements and annual reports for all years of operation</w:t>
      </w:r>
      <w:r w:rsidR="009342E4">
        <w:rPr>
          <w:rFonts w:ascii="Times New Roman" w:hAnsi="Times New Roman" w:cs="Times New Roman"/>
          <w:sz w:val="24"/>
          <w:szCs w:val="24"/>
        </w:rPr>
        <w:t>.</w:t>
      </w:r>
    </w:p>
    <w:p w:rsidR="0033131A" w:rsidRDefault="00851403" w:rsidP="0078797A">
      <w:pPr>
        <w:spacing w:line="480" w:lineRule="auto"/>
        <w:ind w:firstLine="720"/>
        <w:rPr>
          <w:rFonts w:ascii="Times New Roman" w:hAnsi="Times New Roman" w:cs="Times New Roman"/>
          <w:sz w:val="24"/>
          <w:szCs w:val="24"/>
        </w:rPr>
      </w:pPr>
      <w:r>
        <w:rPr>
          <w:rFonts w:ascii="Times New Roman" w:hAnsi="Times New Roman" w:cs="Times New Roman"/>
          <w:sz w:val="24"/>
          <w:szCs w:val="24"/>
        </w:rPr>
        <w:t>Data on external factors will be</w:t>
      </w:r>
      <w:r w:rsidR="0033131A">
        <w:rPr>
          <w:rFonts w:ascii="Times New Roman" w:hAnsi="Times New Roman" w:cs="Times New Roman"/>
          <w:sz w:val="24"/>
          <w:szCs w:val="24"/>
        </w:rPr>
        <w:t xml:space="preserve"> obtained from </w:t>
      </w:r>
      <w:r w:rsidR="00DF7917">
        <w:rPr>
          <w:rFonts w:ascii="Times New Roman" w:hAnsi="Times New Roman" w:cs="Times New Roman"/>
          <w:sz w:val="24"/>
          <w:szCs w:val="24"/>
        </w:rPr>
        <w:t xml:space="preserve">the </w:t>
      </w:r>
      <w:r w:rsidR="0033131A">
        <w:rPr>
          <w:rFonts w:ascii="Times New Roman" w:hAnsi="Times New Roman" w:cs="Times New Roman"/>
          <w:sz w:val="24"/>
          <w:szCs w:val="24"/>
        </w:rPr>
        <w:t xml:space="preserve">International Monetary Fund (IMF) and </w:t>
      </w:r>
      <w:r>
        <w:rPr>
          <w:rFonts w:ascii="Times New Roman" w:hAnsi="Times New Roman" w:cs="Times New Roman"/>
          <w:sz w:val="24"/>
          <w:szCs w:val="24"/>
        </w:rPr>
        <w:t>the Wor</w:t>
      </w:r>
      <w:r w:rsidR="00DF7917">
        <w:rPr>
          <w:rFonts w:ascii="Times New Roman" w:hAnsi="Times New Roman" w:cs="Times New Roman"/>
          <w:sz w:val="24"/>
          <w:szCs w:val="24"/>
        </w:rPr>
        <w:t>l</w:t>
      </w:r>
      <w:r>
        <w:rPr>
          <w:rFonts w:ascii="Times New Roman" w:hAnsi="Times New Roman" w:cs="Times New Roman"/>
          <w:sz w:val="24"/>
          <w:szCs w:val="24"/>
        </w:rPr>
        <w:t xml:space="preserve">d Bank (WB). </w:t>
      </w:r>
    </w:p>
    <w:p w:rsidR="0078797A" w:rsidRDefault="00DF7917" w:rsidP="0078797A">
      <w:pPr>
        <w:spacing w:line="480" w:lineRule="auto"/>
        <w:ind w:firstLine="720"/>
        <w:rPr>
          <w:rFonts w:ascii="Times New Roman" w:hAnsi="Times New Roman" w:cs="Times New Roman"/>
          <w:sz w:val="24"/>
          <w:szCs w:val="24"/>
        </w:rPr>
      </w:pPr>
      <w:r>
        <w:rPr>
          <w:rFonts w:ascii="Times New Roman" w:hAnsi="Times New Roman" w:cs="Times New Roman"/>
          <w:sz w:val="24"/>
          <w:szCs w:val="24"/>
        </w:rPr>
        <w:t>A l</w:t>
      </w:r>
      <w:r w:rsidRPr="004B502E">
        <w:rPr>
          <w:rFonts w:ascii="Times New Roman" w:hAnsi="Times New Roman" w:cs="Times New Roman"/>
          <w:sz w:val="24"/>
          <w:szCs w:val="24"/>
        </w:rPr>
        <w:t xml:space="preserve">ist </w:t>
      </w:r>
      <w:r w:rsidR="0078797A" w:rsidRPr="004B502E">
        <w:rPr>
          <w:rFonts w:ascii="Times New Roman" w:hAnsi="Times New Roman" w:cs="Times New Roman"/>
          <w:sz w:val="24"/>
          <w:szCs w:val="24"/>
        </w:rPr>
        <w:t xml:space="preserve">of the licensed </w:t>
      </w:r>
      <w:r w:rsidR="00852351">
        <w:rPr>
          <w:rFonts w:ascii="Times New Roman" w:hAnsi="Times New Roman" w:cs="Times New Roman"/>
          <w:sz w:val="24"/>
          <w:szCs w:val="24"/>
        </w:rPr>
        <w:t>Islamic banks</w:t>
      </w:r>
      <w:r w:rsidR="0078797A" w:rsidRPr="004B502E">
        <w:rPr>
          <w:rFonts w:ascii="Times New Roman" w:hAnsi="Times New Roman" w:cs="Times New Roman"/>
          <w:sz w:val="24"/>
          <w:szCs w:val="24"/>
        </w:rPr>
        <w:t xml:space="preserve"> </w:t>
      </w:r>
      <w:r>
        <w:rPr>
          <w:rFonts w:ascii="Times New Roman" w:hAnsi="Times New Roman" w:cs="Times New Roman"/>
          <w:sz w:val="24"/>
          <w:szCs w:val="24"/>
        </w:rPr>
        <w:t xml:space="preserve">was </w:t>
      </w:r>
      <w:r w:rsidR="0078797A" w:rsidRPr="004B502E">
        <w:rPr>
          <w:rFonts w:ascii="Times New Roman" w:hAnsi="Times New Roman" w:cs="Times New Roman"/>
          <w:sz w:val="24"/>
          <w:szCs w:val="24"/>
        </w:rPr>
        <w:t>obtained from the official website of the Central Bank of</w:t>
      </w:r>
      <w:r w:rsidR="00094C6B">
        <w:rPr>
          <w:rFonts w:ascii="Times New Roman" w:hAnsi="Times New Roman" w:cs="Times New Roman"/>
          <w:sz w:val="24"/>
          <w:szCs w:val="24"/>
        </w:rPr>
        <w:t xml:space="preserve"> Malaysia</w:t>
      </w:r>
      <w:r w:rsidR="0078797A" w:rsidRPr="004B502E">
        <w:rPr>
          <w:rFonts w:ascii="Times New Roman" w:hAnsi="Times New Roman" w:cs="Times New Roman"/>
          <w:sz w:val="24"/>
          <w:szCs w:val="24"/>
        </w:rPr>
        <w:t xml:space="preserve"> (</w:t>
      </w:r>
      <w:r>
        <w:rPr>
          <w:rFonts w:ascii="Times New Roman" w:hAnsi="Times New Roman" w:cs="Times New Roman"/>
          <w:sz w:val="24"/>
          <w:szCs w:val="24"/>
        </w:rPr>
        <w:t>Central</w:t>
      </w:r>
      <w:r w:rsidR="00852351">
        <w:rPr>
          <w:rFonts w:ascii="Times New Roman" w:hAnsi="Times New Roman" w:cs="Times New Roman"/>
          <w:sz w:val="24"/>
          <w:szCs w:val="24"/>
        </w:rPr>
        <w:t xml:space="preserve"> </w:t>
      </w:r>
      <w:r w:rsidR="00BF2E46">
        <w:rPr>
          <w:rFonts w:ascii="Times New Roman" w:hAnsi="Times New Roman" w:cs="Times New Roman"/>
          <w:sz w:val="24"/>
          <w:szCs w:val="24"/>
        </w:rPr>
        <w:t>B</w:t>
      </w:r>
      <w:r w:rsidR="00852351">
        <w:rPr>
          <w:rFonts w:ascii="Times New Roman" w:hAnsi="Times New Roman" w:cs="Times New Roman"/>
          <w:sz w:val="24"/>
          <w:szCs w:val="24"/>
        </w:rPr>
        <w:t>ank</w:t>
      </w:r>
      <w:r w:rsidR="00BF2E46">
        <w:rPr>
          <w:rFonts w:ascii="Times New Roman" w:hAnsi="Times New Roman" w:cs="Times New Roman"/>
          <w:sz w:val="24"/>
          <w:szCs w:val="24"/>
        </w:rPr>
        <w:t xml:space="preserve"> of Malaysia</w:t>
      </w:r>
      <w:r w:rsidR="0078797A" w:rsidRPr="004B502E">
        <w:rPr>
          <w:rFonts w:ascii="Times New Roman" w:hAnsi="Times New Roman" w:cs="Times New Roman"/>
          <w:sz w:val="24"/>
          <w:szCs w:val="24"/>
        </w:rPr>
        <w:t>, 2012)</w:t>
      </w:r>
      <w:r w:rsidR="00094C6B">
        <w:rPr>
          <w:rFonts w:ascii="Times New Roman" w:hAnsi="Times New Roman" w:cs="Times New Roman"/>
          <w:sz w:val="24"/>
          <w:szCs w:val="24"/>
        </w:rPr>
        <w:t>. The names of the banks, together with available data in years</w:t>
      </w:r>
      <w:r w:rsidR="00BF2E46">
        <w:rPr>
          <w:rFonts w:ascii="Times New Roman" w:hAnsi="Times New Roman" w:cs="Times New Roman"/>
          <w:sz w:val="24"/>
          <w:szCs w:val="24"/>
        </w:rPr>
        <w:t>,</w:t>
      </w:r>
      <w:r w:rsidR="00094C6B">
        <w:rPr>
          <w:rFonts w:ascii="Times New Roman" w:hAnsi="Times New Roman" w:cs="Times New Roman"/>
          <w:sz w:val="24"/>
          <w:szCs w:val="24"/>
        </w:rPr>
        <w:t xml:space="preserve"> are presented in </w:t>
      </w:r>
      <w:r w:rsidR="00C60F43">
        <w:rPr>
          <w:rFonts w:ascii="Times New Roman" w:hAnsi="Times New Roman" w:cs="Times New Roman"/>
          <w:sz w:val="24"/>
          <w:szCs w:val="24"/>
        </w:rPr>
        <w:t>Table 1</w:t>
      </w:r>
      <w:r w:rsidR="00094C6B">
        <w:rPr>
          <w:rFonts w:ascii="Times New Roman" w:hAnsi="Times New Roman" w:cs="Times New Roman"/>
          <w:sz w:val="24"/>
          <w:szCs w:val="24"/>
        </w:rPr>
        <w:t>, below:</w:t>
      </w:r>
    </w:p>
    <w:p w:rsidR="004005C9" w:rsidRDefault="004005C9" w:rsidP="0078797A">
      <w:pPr>
        <w:spacing w:line="480" w:lineRule="auto"/>
        <w:ind w:firstLine="720"/>
        <w:rPr>
          <w:rFonts w:ascii="Times New Roman" w:hAnsi="Times New Roman" w:cs="Times New Roman"/>
          <w:sz w:val="24"/>
          <w:szCs w:val="24"/>
        </w:rPr>
      </w:pPr>
    </w:p>
    <w:p w:rsidR="004005C9" w:rsidRDefault="004005C9" w:rsidP="0078797A">
      <w:pPr>
        <w:spacing w:line="480" w:lineRule="auto"/>
        <w:ind w:firstLine="720"/>
        <w:rPr>
          <w:rFonts w:ascii="Times New Roman" w:hAnsi="Times New Roman" w:cs="Times New Roman"/>
          <w:sz w:val="24"/>
          <w:szCs w:val="24"/>
        </w:rPr>
      </w:pPr>
    </w:p>
    <w:p w:rsidR="004005C9" w:rsidRDefault="004005C9" w:rsidP="0078797A">
      <w:pPr>
        <w:spacing w:line="480" w:lineRule="auto"/>
        <w:ind w:firstLine="720"/>
        <w:rPr>
          <w:rFonts w:ascii="Times New Roman" w:hAnsi="Times New Roman" w:cs="Times New Roman"/>
          <w:sz w:val="24"/>
          <w:szCs w:val="24"/>
        </w:rPr>
      </w:pPr>
    </w:p>
    <w:p w:rsidR="004005C9" w:rsidRDefault="004005C9" w:rsidP="0047701A">
      <w:pPr>
        <w:spacing w:line="480" w:lineRule="auto"/>
        <w:rPr>
          <w:rFonts w:ascii="Times New Roman" w:hAnsi="Times New Roman" w:cs="Times New Roman"/>
          <w:sz w:val="24"/>
          <w:szCs w:val="24"/>
        </w:rPr>
      </w:pPr>
    </w:p>
    <w:tbl>
      <w:tblPr>
        <w:tblStyle w:val="TableGrid"/>
        <w:tblW w:w="864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854"/>
        <w:gridCol w:w="1667"/>
        <w:gridCol w:w="1585"/>
      </w:tblGrid>
      <w:tr w:rsidR="009342E4" w:rsidRPr="00AE28C6" w:rsidTr="0047701A">
        <w:tc>
          <w:tcPr>
            <w:tcW w:w="9576" w:type="dxa"/>
            <w:gridSpan w:val="4"/>
          </w:tcPr>
          <w:p w:rsidR="00662D84" w:rsidRDefault="00B76321" w:rsidP="00662D84">
            <w:pPr>
              <w:spacing w:line="480" w:lineRule="auto"/>
              <w:jc w:val="center"/>
              <w:rPr>
                <w:rFonts w:ascii="Times New Roman" w:hAnsi="Times New Roman" w:cs="Times New Roman"/>
              </w:rPr>
            </w:pPr>
            <w:r w:rsidRPr="00AE28C6">
              <w:rPr>
                <w:rFonts w:ascii="Times New Roman" w:hAnsi="Times New Roman" w:cs="Times New Roman"/>
              </w:rPr>
              <w:t xml:space="preserve">Table </w:t>
            </w:r>
            <w:r w:rsidR="008520EE">
              <w:rPr>
                <w:rFonts w:ascii="Times New Roman" w:hAnsi="Times New Roman" w:cs="Times New Roman"/>
              </w:rPr>
              <w:t>1</w:t>
            </w:r>
          </w:p>
        </w:tc>
      </w:tr>
      <w:tr w:rsidR="009342E4" w:rsidRPr="00AE28C6" w:rsidTr="0047701A">
        <w:tc>
          <w:tcPr>
            <w:tcW w:w="9576" w:type="dxa"/>
            <w:gridSpan w:val="4"/>
            <w:tcBorders>
              <w:bottom w:val="single" w:sz="4" w:space="0" w:color="auto"/>
            </w:tcBorders>
          </w:tcPr>
          <w:p w:rsidR="00662D84" w:rsidRDefault="009342E4" w:rsidP="00662D84">
            <w:pPr>
              <w:spacing w:line="480" w:lineRule="auto"/>
              <w:jc w:val="center"/>
              <w:rPr>
                <w:rFonts w:ascii="Times New Roman" w:hAnsi="Times New Roman" w:cs="Times New Roman"/>
                <w:i/>
              </w:rPr>
            </w:pPr>
            <w:r w:rsidRPr="00AE28C6">
              <w:rPr>
                <w:rFonts w:ascii="Times New Roman" w:hAnsi="Times New Roman" w:cs="Times New Roman"/>
                <w:i/>
              </w:rPr>
              <w:t>List of the Malaysian Islamic Banks Included in the Data Sample</w:t>
            </w:r>
          </w:p>
        </w:tc>
      </w:tr>
      <w:tr w:rsidR="009342E4" w:rsidRPr="00AE28C6" w:rsidTr="0047701A">
        <w:tc>
          <w:tcPr>
            <w:tcW w:w="558" w:type="dxa"/>
            <w:tcBorders>
              <w:top w:val="single" w:sz="4" w:space="0" w:color="auto"/>
              <w:bottom w:val="single" w:sz="4" w:space="0" w:color="auto"/>
            </w:tcBorders>
            <w:vAlign w:val="center"/>
          </w:tcPr>
          <w:p w:rsidR="009342E4" w:rsidRPr="00AE28C6" w:rsidRDefault="009342E4" w:rsidP="007D291E">
            <w:pPr>
              <w:spacing w:line="360" w:lineRule="auto"/>
              <w:jc w:val="center"/>
              <w:rPr>
                <w:rFonts w:ascii="Times New Roman" w:hAnsi="Times New Roman" w:cs="Times New Roman"/>
                <w:sz w:val="20"/>
                <w:szCs w:val="20"/>
              </w:rPr>
            </w:pPr>
            <w:r w:rsidRPr="00AE28C6">
              <w:rPr>
                <w:rFonts w:ascii="Times New Roman" w:hAnsi="Times New Roman" w:cs="Times New Roman"/>
                <w:sz w:val="20"/>
                <w:szCs w:val="20"/>
              </w:rPr>
              <w:t>#</w:t>
            </w:r>
          </w:p>
        </w:tc>
        <w:tc>
          <w:tcPr>
            <w:tcW w:w="5580" w:type="dxa"/>
            <w:tcBorders>
              <w:top w:val="single" w:sz="4" w:space="0" w:color="auto"/>
              <w:bottom w:val="single" w:sz="4" w:space="0" w:color="auto"/>
            </w:tcBorders>
            <w:vAlign w:val="center"/>
          </w:tcPr>
          <w:p w:rsidR="009342E4" w:rsidRPr="00AE28C6" w:rsidRDefault="009342E4" w:rsidP="007D291E">
            <w:pPr>
              <w:spacing w:line="360" w:lineRule="auto"/>
              <w:jc w:val="center"/>
              <w:rPr>
                <w:rFonts w:ascii="Times New Roman" w:hAnsi="Times New Roman" w:cs="Times New Roman"/>
                <w:sz w:val="20"/>
                <w:szCs w:val="20"/>
              </w:rPr>
            </w:pPr>
            <w:r w:rsidRPr="00AE28C6">
              <w:rPr>
                <w:rFonts w:ascii="Times New Roman" w:hAnsi="Times New Roman" w:cs="Times New Roman"/>
                <w:sz w:val="20"/>
                <w:szCs w:val="20"/>
              </w:rPr>
              <w:t>Name</w:t>
            </w:r>
          </w:p>
        </w:tc>
        <w:tc>
          <w:tcPr>
            <w:tcW w:w="1800" w:type="dxa"/>
            <w:tcBorders>
              <w:top w:val="single" w:sz="4" w:space="0" w:color="auto"/>
              <w:bottom w:val="single" w:sz="4" w:space="0" w:color="auto"/>
            </w:tcBorders>
            <w:vAlign w:val="center"/>
          </w:tcPr>
          <w:p w:rsidR="009342E4" w:rsidRPr="00AE28C6" w:rsidRDefault="009342E4" w:rsidP="00BF2E46">
            <w:pPr>
              <w:spacing w:line="360" w:lineRule="auto"/>
              <w:jc w:val="center"/>
              <w:rPr>
                <w:rFonts w:ascii="Times New Roman" w:hAnsi="Times New Roman" w:cs="Times New Roman"/>
                <w:sz w:val="20"/>
                <w:szCs w:val="20"/>
              </w:rPr>
            </w:pPr>
            <w:r w:rsidRPr="00AE28C6">
              <w:rPr>
                <w:rFonts w:ascii="Times New Roman" w:hAnsi="Times New Roman" w:cs="Times New Roman"/>
                <w:sz w:val="20"/>
                <w:szCs w:val="20"/>
              </w:rPr>
              <w:t xml:space="preserve">Available </w:t>
            </w:r>
            <w:r w:rsidR="00BF2E46">
              <w:rPr>
                <w:rFonts w:ascii="Times New Roman" w:hAnsi="Times New Roman" w:cs="Times New Roman"/>
                <w:sz w:val="20"/>
                <w:szCs w:val="20"/>
              </w:rPr>
              <w:t>d</w:t>
            </w:r>
            <w:r w:rsidR="00BF2E46" w:rsidRPr="00AE28C6">
              <w:rPr>
                <w:rFonts w:ascii="Times New Roman" w:hAnsi="Times New Roman" w:cs="Times New Roman"/>
                <w:sz w:val="20"/>
                <w:szCs w:val="20"/>
              </w:rPr>
              <w:t xml:space="preserve">ata </w:t>
            </w:r>
            <w:r w:rsidRPr="00AE28C6">
              <w:rPr>
                <w:rFonts w:ascii="Times New Roman" w:hAnsi="Times New Roman" w:cs="Times New Roman"/>
                <w:sz w:val="20"/>
                <w:szCs w:val="20"/>
              </w:rPr>
              <w:t>(in years)</w:t>
            </w:r>
          </w:p>
        </w:tc>
        <w:tc>
          <w:tcPr>
            <w:tcW w:w="1638" w:type="dxa"/>
            <w:tcBorders>
              <w:top w:val="single" w:sz="4" w:space="0" w:color="auto"/>
              <w:bottom w:val="single" w:sz="4" w:space="0" w:color="auto"/>
            </w:tcBorders>
            <w:vAlign w:val="center"/>
          </w:tcPr>
          <w:p w:rsidR="009342E4" w:rsidRPr="00AE28C6" w:rsidRDefault="009342E4" w:rsidP="007D291E">
            <w:pPr>
              <w:spacing w:line="360" w:lineRule="auto"/>
              <w:jc w:val="center"/>
              <w:rPr>
                <w:rFonts w:ascii="Times New Roman" w:hAnsi="Times New Roman" w:cs="Times New Roman"/>
                <w:sz w:val="20"/>
                <w:szCs w:val="20"/>
              </w:rPr>
            </w:pPr>
            <w:r w:rsidRPr="00AE28C6">
              <w:rPr>
                <w:rFonts w:ascii="Times New Roman" w:hAnsi="Times New Roman" w:cs="Times New Roman"/>
                <w:sz w:val="20"/>
                <w:szCs w:val="20"/>
              </w:rPr>
              <w:t>Year of establishment</w:t>
            </w:r>
          </w:p>
        </w:tc>
      </w:tr>
      <w:tr w:rsidR="009342E4" w:rsidRPr="00AE28C6" w:rsidTr="0047701A">
        <w:tc>
          <w:tcPr>
            <w:tcW w:w="558" w:type="dxa"/>
            <w:tcBorders>
              <w:top w:val="single" w:sz="4" w:space="0" w:color="auto"/>
              <w:bottom w:val="nil"/>
            </w:tcBorders>
          </w:tcPr>
          <w:p w:rsidR="009342E4" w:rsidRPr="00AE28C6" w:rsidRDefault="009342E4" w:rsidP="00AE28C6">
            <w:pPr>
              <w:spacing w:line="360" w:lineRule="auto"/>
              <w:jc w:val="center"/>
              <w:rPr>
                <w:rFonts w:ascii="Times New Roman" w:hAnsi="Times New Roman" w:cs="Times New Roman"/>
                <w:sz w:val="20"/>
                <w:szCs w:val="20"/>
              </w:rPr>
            </w:pPr>
            <w:r w:rsidRPr="00AE28C6">
              <w:rPr>
                <w:rFonts w:ascii="Times New Roman" w:hAnsi="Times New Roman" w:cs="Times New Roman"/>
                <w:sz w:val="20"/>
                <w:szCs w:val="20"/>
              </w:rPr>
              <w:t>1</w:t>
            </w:r>
          </w:p>
        </w:tc>
        <w:tc>
          <w:tcPr>
            <w:tcW w:w="5580" w:type="dxa"/>
            <w:tcBorders>
              <w:top w:val="single" w:sz="4" w:space="0" w:color="auto"/>
              <w:bottom w:val="nil"/>
            </w:tcBorders>
            <w:vAlign w:val="center"/>
          </w:tcPr>
          <w:p w:rsidR="009342E4" w:rsidRPr="00AE28C6" w:rsidRDefault="007F7C4D" w:rsidP="00AE28C6">
            <w:pPr>
              <w:spacing w:line="360" w:lineRule="auto"/>
              <w:rPr>
                <w:rFonts w:ascii="Times New Roman" w:eastAsia="Times New Roman" w:hAnsi="Times New Roman" w:cs="Times New Roman"/>
                <w:sz w:val="20"/>
                <w:szCs w:val="20"/>
                <w:lang w:val="ru-RU" w:eastAsia="ru-RU"/>
              </w:rPr>
            </w:pPr>
            <w:hyperlink r:id="rId9" w:history="1">
              <w:r w:rsidR="009342E4" w:rsidRPr="00AE28C6">
                <w:rPr>
                  <w:rFonts w:ascii="Times New Roman" w:eastAsia="Times New Roman" w:hAnsi="Times New Roman" w:cs="Times New Roman"/>
                  <w:sz w:val="20"/>
                  <w:szCs w:val="20"/>
                  <w:lang w:val="ru-RU" w:eastAsia="ru-RU"/>
                </w:rPr>
                <w:t>Affin Islamic Bank Berhad</w:t>
              </w:r>
            </w:hyperlink>
          </w:p>
        </w:tc>
        <w:tc>
          <w:tcPr>
            <w:tcW w:w="1800" w:type="dxa"/>
            <w:tcBorders>
              <w:top w:val="single" w:sz="4" w:space="0" w:color="auto"/>
              <w:bottom w:val="nil"/>
            </w:tcBorders>
            <w:vAlign w:val="center"/>
          </w:tcPr>
          <w:p w:rsidR="009342E4" w:rsidRPr="00AE28C6" w:rsidRDefault="009342E4" w:rsidP="00AE28C6">
            <w:pPr>
              <w:spacing w:line="360" w:lineRule="auto"/>
              <w:jc w:val="center"/>
              <w:rPr>
                <w:rFonts w:ascii="Times New Roman" w:eastAsia="Times New Roman" w:hAnsi="Times New Roman" w:cs="Times New Roman"/>
                <w:sz w:val="20"/>
                <w:szCs w:val="20"/>
                <w:lang w:eastAsia="ru-RU"/>
              </w:rPr>
            </w:pPr>
            <w:r w:rsidRPr="00AE28C6">
              <w:rPr>
                <w:rFonts w:ascii="Times New Roman" w:eastAsia="Times New Roman" w:hAnsi="Times New Roman" w:cs="Times New Roman"/>
                <w:sz w:val="20"/>
                <w:szCs w:val="20"/>
                <w:lang w:eastAsia="ru-RU"/>
              </w:rPr>
              <w:t>6</w:t>
            </w:r>
          </w:p>
        </w:tc>
        <w:tc>
          <w:tcPr>
            <w:tcW w:w="1638" w:type="dxa"/>
            <w:tcBorders>
              <w:top w:val="single" w:sz="4" w:space="0" w:color="auto"/>
              <w:bottom w:val="nil"/>
            </w:tcBorders>
            <w:vAlign w:val="center"/>
          </w:tcPr>
          <w:p w:rsidR="009342E4" w:rsidRPr="00AE28C6" w:rsidRDefault="009342E4" w:rsidP="00AE28C6">
            <w:pPr>
              <w:spacing w:line="360" w:lineRule="auto"/>
              <w:jc w:val="center"/>
              <w:rPr>
                <w:rFonts w:ascii="Times New Roman" w:eastAsia="Times New Roman" w:hAnsi="Times New Roman" w:cs="Times New Roman"/>
                <w:sz w:val="20"/>
                <w:szCs w:val="20"/>
                <w:lang w:eastAsia="ru-RU"/>
              </w:rPr>
            </w:pPr>
            <w:r w:rsidRPr="00AE28C6">
              <w:rPr>
                <w:rFonts w:ascii="Times New Roman" w:eastAsia="Times New Roman" w:hAnsi="Times New Roman" w:cs="Times New Roman"/>
                <w:sz w:val="20"/>
                <w:szCs w:val="20"/>
                <w:lang w:eastAsia="ru-RU"/>
              </w:rPr>
              <w:t>200</w:t>
            </w:r>
            <w:r w:rsidR="00B345EE">
              <w:rPr>
                <w:rFonts w:ascii="Times New Roman" w:eastAsia="Times New Roman" w:hAnsi="Times New Roman" w:cs="Times New Roman"/>
                <w:sz w:val="20"/>
                <w:szCs w:val="20"/>
                <w:lang w:eastAsia="ru-RU"/>
              </w:rPr>
              <w:t>6</w:t>
            </w:r>
          </w:p>
        </w:tc>
      </w:tr>
      <w:tr w:rsidR="009342E4" w:rsidRPr="00AE28C6" w:rsidTr="0047701A">
        <w:tc>
          <w:tcPr>
            <w:tcW w:w="558" w:type="dxa"/>
            <w:tcBorders>
              <w:bottom w:val="nil"/>
            </w:tcBorders>
          </w:tcPr>
          <w:p w:rsidR="009342E4" w:rsidRPr="00AE28C6" w:rsidRDefault="009342E4" w:rsidP="00AE28C6">
            <w:pPr>
              <w:spacing w:line="360" w:lineRule="auto"/>
              <w:jc w:val="center"/>
              <w:rPr>
                <w:rFonts w:ascii="Times New Roman" w:hAnsi="Times New Roman" w:cs="Times New Roman"/>
                <w:sz w:val="20"/>
                <w:szCs w:val="20"/>
              </w:rPr>
            </w:pPr>
            <w:r w:rsidRPr="00AE28C6">
              <w:rPr>
                <w:rFonts w:ascii="Times New Roman" w:hAnsi="Times New Roman" w:cs="Times New Roman"/>
                <w:sz w:val="20"/>
                <w:szCs w:val="20"/>
              </w:rPr>
              <w:t>2</w:t>
            </w:r>
          </w:p>
        </w:tc>
        <w:tc>
          <w:tcPr>
            <w:tcW w:w="5580" w:type="dxa"/>
            <w:tcBorders>
              <w:bottom w:val="nil"/>
            </w:tcBorders>
            <w:vAlign w:val="center"/>
          </w:tcPr>
          <w:p w:rsidR="009342E4" w:rsidRPr="00AE28C6" w:rsidRDefault="007F7C4D" w:rsidP="00AE28C6">
            <w:pPr>
              <w:spacing w:line="360" w:lineRule="auto"/>
              <w:rPr>
                <w:rFonts w:ascii="Times New Roman" w:eastAsia="Times New Roman" w:hAnsi="Times New Roman" w:cs="Times New Roman"/>
                <w:sz w:val="20"/>
                <w:szCs w:val="20"/>
                <w:lang w:eastAsia="ru-RU"/>
              </w:rPr>
            </w:pPr>
            <w:hyperlink r:id="rId10" w:history="1">
              <w:r w:rsidR="009342E4" w:rsidRPr="00AE28C6">
                <w:rPr>
                  <w:rFonts w:ascii="Times New Roman" w:eastAsia="Times New Roman" w:hAnsi="Times New Roman" w:cs="Times New Roman"/>
                  <w:sz w:val="20"/>
                  <w:szCs w:val="20"/>
                  <w:lang w:eastAsia="ru-RU"/>
                </w:rPr>
                <w:t>Al Rajhi Banking &amp; Investment Corporation (Malaysia) Berhad</w:t>
              </w:r>
            </w:hyperlink>
          </w:p>
        </w:tc>
        <w:tc>
          <w:tcPr>
            <w:tcW w:w="1800" w:type="dxa"/>
            <w:tcBorders>
              <w:bottom w:val="nil"/>
            </w:tcBorders>
            <w:vAlign w:val="center"/>
          </w:tcPr>
          <w:p w:rsidR="009342E4" w:rsidRPr="00AE28C6" w:rsidRDefault="009342E4" w:rsidP="00AE28C6">
            <w:pPr>
              <w:spacing w:line="360" w:lineRule="auto"/>
              <w:jc w:val="center"/>
              <w:rPr>
                <w:rFonts w:ascii="Times New Roman" w:eastAsia="Times New Roman" w:hAnsi="Times New Roman" w:cs="Times New Roman"/>
                <w:sz w:val="20"/>
                <w:szCs w:val="20"/>
                <w:lang w:eastAsia="ru-RU"/>
              </w:rPr>
            </w:pPr>
            <w:r w:rsidRPr="00AE28C6">
              <w:rPr>
                <w:rFonts w:ascii="Times New Roman" w:eastAsia="Times New Roman" w:hAnsi="Times New Roman" w:cs="Times New Roman"/>
                <w:sz w:val="20"/>
                <w:szCs w:val="20"/>
                <w:lang w:eastAsia="ru-RU"/>
              </w:rPr>
              <w:t>5</w:t>
            </w:r>
          </w:p>
        </w:tc>
        <w:tc>
          <w:tcPr>
            <w:tcW w:w="1638" w:type="dxa"/>
            <w:tcBorders>
              <w:bottom w:val="nil"/>
            </w:tcBorders>
            <w:vAlign w:val="center"/>
          </w:tcPr>
          <w:p w:rsidR="009342E4" w:rsidRPr="00AE28C6" w:rsidRDefault="009342E4" w:rsidP="00AE28C6">
            <w:pPr>
              <w:spacing w:line="360" w:lineRule="auto"/>
              <w:jc w:val="center"/>
              <w:rPr>
                <w:rFonts w:ascii="Times New Roman" w:eastAsia="Times New Roman" w:hAnsi="Times New Roman" w:cs="Times New Roman"/>
                <w:sz w:val="20"/>
                <w:szCs w:val="20"/>
                <w:lang w:eastAsia="ru-RU"/>
              </w:rPr>
            </w:pPr>
            <w:r w:rsidRPr="00AE28C6">
              <w:rPr>
                <w:rFonts w:ascii="Times New Roman" w:eastAsia="Times New Roman" w:hAnsi="Times New Roman" w:cs="Times New Roman"/>
                <w:sz w:val="20"/>
                <w:szCs w:val="20"/>
                <w:lang w:eastAsia="ru-RU"/>
              </w:rPr>
              <w:t>2006</w:t>
            </w:r>
          </w:p>
        </w:tc>
      </w:tr>
      <w:tr w:rsidR="009342E4" w:rsidRPr="00AE28C6" w:rsidTr="0047701A">
        <w:tc>
          <w:tcPr>
            <w:tcW w:w="558" w:type="dxa"/>
            <w:tcBorders>
              <w:bottom w:val="nil"/>
            </w:tcBorders>
          </w:tcPr>
          <w:p w:rsidR="009342E4" w:rsidRPr="00AE28C6" w:rsidRDefault="009342E4" w:rsidP="00AE28C6">
            <w:pPr>
              <w:spacing w:line="360" w:lineRule="auto"/>
              <w:jc w:val="center"/>
              <w:rPr>
                <w:rFonts w:ascii="Times New Roman" w:hAnsi="Times New Roman" w:cs="Times New Roman"/>
                <w:sz w:val="20"/>
                <w:szCs w:val="20"/>
              </w:rPr>
            </w:pPr>
            <w:r w:rsidRPr="00AE28C6">
              <w:rPr>
                <w:rFonts w:ascii="Times New Roman" w:hAnsi="Times New Roman" w:cs="Times New Roman"/>
                <w:sz w:val="20"/>
                <w:szCs w:val="20"/>
              </w:rPr>
              <w:t>3</w:t>
            </w:r>
          </w:p>
        </w:tc>
        <w:tc>
          <w:tcPr>
            <w:tcW w:w="5580" w:type="dxa"/>
            <w:tcBorders>
              <w:bottom w:val="nil"/>
            </w:tcBorders>
            <w:vAlign w:val="center"/>
          </w:tcPr>
          <w:p w:rsidR="009342E4" w:rsidRPr="00AE28C6" w:rsidRDefault="007F7C4D" w:rsidP="00AE28C6">
            <w:pPr>
              <w:spacing w:line="360" w:lineRule="auto"/>
              <w:rPr>
                <w:rFonts w:ascii="Times New Roman" w:eastAsia="Times New Roman" w:hAnsi="Times New Roman" w:cs="Times New Roman"/>
                <w:sz w:val="20"/>
                <w:szCs w:val="20"/>
                <w:lang w:val="ru-RU" w:eastAsia="ru-RU"/>
              </w:rPr>
            </w:pPr>
            <w:hyperlink r:id="rId11" w:history="1">
              <w:r w:rsidR="009342E4" w:rsidRPr="00AE28C6">
                <w:rPr>
                  <w:rFonts w:ascii="Times New Roman" w:eastAsia="Times New Roman" w:hAnsi="Times New Roman" w:cs="Times New Roman"/>
                  <w:sz w:val="20"/>
                  <w:szCs w:val="20"/>
                  <w:lang w:val="ru-RU" w:eastAsia="ru-RU"/>
                </w:rPr>
                <w:t>Alliance Islamic Bank Berhad</w:t>
              </w:r>
            </w:hyperlink>
          </w:p>
        </w:tc>
        <w:tc>
          <w:tcPr>
            <w:tcW w:w="1800" w:type="dxa"/>
            <w:tcBorders>
              <w:bottom w:val="nil"/>
            </w:tcBorders>
            <w:vAlign w:val="center"/>
          </w:tcPr>
          <w:p w:rsidR="009342E4" w:rsidRPr="00AE28C6" w:rsidRDefault="009342E4" w:rsidP="00AE28C6">
            <w:pPr>
              <w:spacing w:line="360" w:lineRule="auto"/>
              <w:jc w:val="center"/>
              <w:rPr>
                <w:rFonts w:ascii="Times New Roman" w:eastAsia="Times New Roman" w:hAnsi="Times New Roman" w:cs="Times New Roman"/>
                <w:sz w:val="20"/>
                <w:szCs w:val="20"/>
                <w:lang w:eastAsia="ru-RU"/>
              </w:rPr>
            </w:pPr>
            <w:r w:rsidRPr="00AE28C6">
              <w:rPr>
                <w:rFonts w:ascii="Times New Roman" w:eastAsia="Times New Roman" w:hAnsi="Times New Roman" w:cs="Times New Roman"/>
                <w:sz w:val="20"/>
                <w:szCs w:val="20"/>
                <w:lang w:eastAsia="ru-RU"/>
              </w:rPr>
              <w:t>3</w:t>
            </w:r>
          </w:p>
        </w:tc>
        <w:tc>
          <w:tcPr>
            <w:tcW w:w="1638" w:type="dxa"/>
            <w:tcBorders>
              <w:bottom w:val="nil"/>
            </w:tcBorders>
            <w:vAlign w:val="center"/>
          </w:tcPr>
          <w:p w:rsidR="009342E4" w:rsidRPr="00AE28C6" w:rsidRDefault="009342E4" w:rsidP="00AE28C6">
            <w:pPr>
              <w:spacing w:line="360" w:lineRule="auto"/>
              <w:jc w:val="center"/>
              <w:rPr>
                <w:rFonts w:ascii="Times New Roman" w:eastAsia="Times New Roman" w:hAnsi="Times New Roman" w:cs="Times New Roman"/>
                <w:sz w:val="20"/>
                <w:szCs w:val="20"/>
                <w:lang w:eastAsia="ru-RU"/>
              </w:rPr>
            </w:pPr>
            <w:r w:rsidRPr="00AE28C6">
              <w:rPr>
                <w:rFonts w:ascii="Times New Roman" w:eastAsia="Times New Roman" w:hAnsi="Times New Roman" w:cs="Times New Roman"/>
                <w:sz w:val="20"/>
                <w:szCs w:val="20"/>
                <w:lang w:eastAsia="ru-RU"/>
              </w:rPr>
              <w:t>2008</w:t>
            </w:r>
          </w:p>
        </w:tc>
      </w:tr>
      <w:tr w:rsidR="009342E4" w:rsidRPr="00AE28C6" w:rsidTr="0047701A">
        <w:tc>
          <w:tcPr>
            <w:tcW w:w="558" w:type="dxa"/>
            <w:tcBorders>
              <w:bottom w:val="nil"/>
            </w:tcBorders>
          </w:tcPr>
          <w:p w:rsidR="009342E4" w:rsidRPr="00AE28C6" w:rsidRDefault="009342E4" w:rsidP="00AE28C6">
            <w:pPr>
              <w:spacing w:line="360" w:lineRule="auto"/>
              <w:jc w:val="center"/>
              <w:rPr>
                <w:rFonts w:ascii="Times New Roman" w:hAnsi="Times New Roman" w:cs="Times New Roman"/>
                <w:sz w:val="20"/>
                <w:szCs w:val="20"/>
              </w:rPr>
            </w:pPr>
            <w:r w:rsidRPr="00AE28C6">
              <w:rPr>
                <w:rFonts w:ascii="Times New Roman" w:hAnsi="Times New Roman" w:cs="Times New Roman"/>
                <w:sz w:val="20"/>
                <w:szCs w:val="20"/>
              </w:rPr>
              <w:t>4</w:t>
            </w:r>
          </w:p>
        </w:tc>
        <w:tc>
          <w:tcPr>
            <w:tcW w:w="5580" w:type="dxa"/>
            <w:tcBorders>
              <w:bottom w:val="nil"/>
            </w:tcBorders>
            <w:vAlign w:val="center"/>
          </w:tcPr>
          <w:p w:rsidR="009342E4" w:rsidRPr="00AE28C6" w:rsidRDefault="007F7C4D" w:rsidP="00AE28C6">
            <w:pPr>
              <w:spacing w:line="360" w:lineRule="auto"/>
              <w:rPr>
                <w:rFonts w:ascii="Times New Roman" w:eastAsia="Times New Roman" w:hAnsi="Times New Roman" w:cs="Times New Roman"/>
                <w:sz w:val="20"/>
                <w:szCs w:val="20"/>
                <w:lang w:val="ru-RU" w:eastAsia="ru-RU"/>
              </w:rPr>
            </w:pPr>
            <w:hyperlink r:id="rId12" w:history="1">
              <w:r w:rsidR="009342E4" w:rsidRPr="00AE28C6">
                <w:rPr>
                  <w:rFonts w:ascii="Times New Roman" w:eastAsia="Times New Roman" w:hAnsi="Times New Roman" w:cs="Times New Roman"/>
                  <w:sz w:val="20"/>
                  <w:szCs w:val="20"/>
                  <w:lang w:val="ru-RU" w:eastAsia="ru-RU"/>
                </w:rPr>
                <w:t>AmIslamic Bank Berhad</w:t>
              </w:r>
            </w:hyperlink>
          </w:p>
        </w:tc>
        <w:tc>
          <w:tcPr>
            <w:tcW w:w="1800" w:type="dxa"/>
            <w:tcBorders>
              <w:bottom w:val="nil"/>
            </w:tcBorders>
            <w:vAlign w:val="center"/>
          </w:tcPr>
          <w:p w:rsidR="009342E4" w:rsidRPr="00AE28C6" w:rsidRDefault="00C54CF1" w:rsidP="00AE28C6">
            <w:pPr>
              <w:spacing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638" w:type="dxa"/>
            <w:tcBorders>
              <w:bottom w:val="nil"/>
            </w:tcBorders>
            <w:vAlign w:val="center"/>
          </w:tcPr>
          <w:p w:rsidR="009342E4" w:rsidRPr="00AE28C6" w:rsidRDefault="00C54CF1" w:rsidP="00AE28C6">
            <w:pPr>
              <w:spacing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2006</w:t>
            </w:r>
          </w:p>
        </w:tc>
      </w:tr>
      <w:tr w:rsidR="009342E4" w:rsidRPr="00AE28C6" w:rsidTr="0047701A">
        <w:tc>
          <w:tcPr>
            <w:tcW w:w="558" w:type="dxa"/>
            <w:tcBorders>
              <w:bottom w:val="nil"/>
            </w:tcBorders>
          </w:tcPr>
          <w:p w:rsidR="009342E4" w:rsidRPr="00AE28C6" w:rsidRDefault="009342E4" w:rsidP="00AE28C6">
            <w:pPr>
              <w:spacing w:line="360" w:lineRule="auto"/>
              <w:jc w:val="center"/>
              <w:rPr>
                <w:rFonts w:ascii="Times New Roman" w:hAnsi="Times New Roman" w:cs="Times New Roman"/>
                <w:sz w:val="20"/>
                <w:szCs w:val="20"/>
              </w:rPr>
            </w:pPr>
            <w:r w:rsidRPr="00AE28C6">
              <w:rPr>
                <w:rFonts w:ascii="Times New Roman" w:hAnsi="Times New Roman" w:cs="Times New Roman"/>
                <w:sz w:val="20"/>
                <w:szCs w:val="20"/>
              </w:rPr>
              <w:t>5</w:t>
            </w:r>
          </w:p>
        </w:tc>
        <w:tc>
          <w:tcPr>
            <w:tcW w:w="5580" w:type="dxa"/>
            <w:tcBorders>
              <w:bottom w:val="nil"/>
            </w:tcBorders>
            <w:vAlign w:val="center"/>
          </w:tcPr>
          <w:p w:rsidR="009342E4" w:rsidRPr="00AE28C6" w:rsidRDefault="007F7C4D" w:rsidP="00AE28C6">
            <w:pPr>
              <w:spacing w:line="360" w:lineRule="auto"/>
              <w:rPr>
                <w:rFonts w:ascii="Times New Roman" w:eastAsia="Times New Roman" w:hAnsi="Times New Roman" w:cs="Times New Roman"/>
                <w:sz w:val="20"/>
                <w:szCs w:val="20"/>
                <w:lang w:val="ru-RU" w:eastAsia="ru-RU"/>
              </w:rPr>
            </w:pPr>
            <w:hyperlink r:id="rId13" w:history="1">
              <w:r w:rsidR="009342E4" w:rsidRPr="00AE28C6">
                <w:rPr>
                  <w:rFonts w:ascii="Times New Roman" w:eastAsia="Times New Roman" w:hAnsi="Times New Roman" w:cs="Times New Roman"/>
                  <w:sz w:val="20"/>
                  <w:szCs w:val="20"/>
                  <w:lang w:val="ru-RU" w:eastAsia="ru-RU"/>
                </w:rPr>
                <w:t>Asian Finance Bank Berhad</w:t>
              </w:r>
            </w:hyperlink>
          </w:p>
        </w:tc>
        <w:tc>
          <w:tcPr>
            <w:tcW w:w="1800" w:type="dxa"/>
            <w:tcBorders>
              <w:bottom w:val="nil"/>
            </w:tcBorders>
            <w:vAlign w:val="center"/>
          </w:tcPr>
          <w:p w:rsidR="009342E4" w:rsidRPr="00AE28C6" w:rsidRDefault="009342E4" w:rsidP="00AE28C6">
            <w:pPr>
              <w:spacing w:line="360" w:lineRule="auto"/>
              <w:jc w:val="center"/>
              <w:rPr>
                <w:rFonts w:ascii="Times New Roman" w:eastAsia="Times New Roman" w:hAnsi="Times New Roman" w:cs="Times New Roman"/>
                <w:sz w:val="20"/>
                <w:szCs w:val="20"/>
                <w:lang w:eastAsia="ru-RU"/>
              </w:rPr>
            </w:pPr>
            <w:r w:rsidRPr="00AE28C6">
              <w:rPr>
                <w:rFonts w:ascii="Times New Roman" w:eastAsia="Times New Roman" w:hAnsi="Times New Roman" w:cs="Times New Roman"/>
                <w:sz w:val="20"/>
                <w:szCs w:val="20"/>
                <w:lang w:eastAsia="ru-RU"/>
              </w:rPr>
              <w:t>5</w:t>
            </w:r>
          </w:p>
        </w:tc>
        <w:tc>
          <w:tcPr>
            <w:tcW w:w="1638" w:type="dxa"/>
            <w:tcBorders>
              <w:bottom w:val="nil"/>
            </w:tcBorders>
            <w:vAlign w:val="center"/>
          </w:tcPr>
          <w:p w:rsidR="009342E4" w:rsidRPr="00AE28C6" w:rsidRDefault="009342E4" w:rsidP="00AE28C6">
            <w:pPr>
              <w:spacing w:line="360" w:lineRule="auto"/>
              <w:jc w:val="center"/>
              <w:rPr>
                <w:rFonts w:ascii="Times New Roman" w:eastAsia="Times New Roman" w:hAnsi="Times New Roman" w:cs="Times New Roman"/>
                <w:sz w:val="20"/>
                <w:szCs w:val="20"/>
                <w:lang w:eastAsia="ru-RU"/>
              </w:rPr>
            </w:pPr>
            <w:r w:rsidRPr="00AE28C6">
              <w:rPr>
                <w:rFonts w:ascii="Times New Roman" w:eastAsia="Times New Roman" w:hAnsi="Times New Roman" w:cs="Times New Roman"/>
                <w:sz w:val="20"/>
                <w:szCs w:val="20"/>
                <w:lang w:eastAsia="ru-RU"/>
              </w:rPr>
              <w:t>2005</w:t>
            </w:r>
          </w:p>
        </w:tc>
      </w:tr>
      <w:tr w:rsidR="009342E4" w:rsidRPr="00AE28C6" w:rsidTr="0047701A">
        <w:tc>
          <w:tcPr>
            <w:tcW w:w="558" w:type="dxa"/>
            <w:tcBorders>
              <w:bottom w:val="nil"/>
            </w:tcBorders>
          </w:tcPr>
          <w:p w:rsidR="009342E4" w:rsidRPr="00AE28C6" w:rsidRDefault="009342E4" w:rsidP="00AE28C6">
            <w:pPr>
              <w:spacing w:line="360" w:lineRule="auto"/>
              <w:jc w:val="center"/>
              <w:rPr>
                <w:rFonts w:ascii="Times New Roman" w:hAnsi="Times New Roman" w:cs="Times New Roman"/>
                <w:sz w:val="20"/>
                <w:szCs w:val="20"/>
              </w:rPr>
            </w:pPr>
            <w:r w:rsidRPr="00AE28C6">
              <w:rPr>
                <w:rFonts w:ascii="Times New Roman" w:hAnsi="Times New Roman" w:cs="Times New Roman"/>
                <w:sz w:val="20"/>
                <w:szCs w:val="20"/>
              </w:rPr>
              <w:t>6</w:t>
            </w:r>
          </w:p>
        </w:tc>
        <w:tc>
          <w:tcPr>
            <w:tcW w:w="5580" w:type="dxa"/>
            <w:tcBorders>
              <w:bottom w:val="nil"/>
            </w:tcBorders>
            <w:vAlign w:val="center"/>
          </w:tcPr>
          <w:p w:rsidR="009342E4" w:rsidRPr="00AE28C6" w:rsidRDefault="007F7C4D" w:rsidP="00AE28C6">
            <w:pPr>
              <w:spacing w:line="360" w:lineRule="auto"/>
              <w:rPr>
                <w:rFonts w:ascii="Times New Roman" w:eastAsia="Times New Roman" w:hAnsi="Times New Roman" w:cs="Times New Roman"/>
                <w:sz w:val="20"/>
                <w:szCs w:val="20"/>
                <w:lang w:val="ru-RU" w:eastAsia="ru-RU"/>
              </w:rPr>
            </w:pPr>
            <w:hyperlink r:id="rId14" w:history="1">
              <w:r w:rsidR="009342E4" w:rsidRPr="00AE28C6">
                <w:rPr>
                  <w:rFonts w:ascii="Times New Roman" w:eastAsia="Times New Roman" w:hAnsi="Times New Roman" w:cs="Times New Roman"/>
                  <w:sz w:val="20"/>
                  <w:szCs w:val="20"/>
                  <w:lang w:val="ru-RU" w:eastAsia="ru-RU"/>
                </w:rPr>
                <w:t>Bank Islam Malaysia Berhad</w:t>
              </w:r>
            </w:hyperlink>
          </w:p>
        </w:tc>
        <w:tc>
          <w:tcPr>
            <w:tcW w:w="1800" w:type="dxa"/>
            <w:tcBorders>
              <w:bottom w:val="nil"/>
            </w:tcBorders>
            <w:vAlign w:val="center"/>
          </w:tcPr>
          <w:p w:rsidR="009342E4" w:rsidRPr="00AE28C6" w:rsidRDefault="009342E4" w:rsidP="00AE28C6">
            <w:pPr>
              <w:spacing w:line="360" w:lineRule="auto"/>
              <w:jc w:val="center"/>
              <w:rPr>
                <w:rFonts w:ascii="Times New Roman" w:eastAsia="Times New Roman" w:hAnsi="Times New Roman" w:cs="Times New Roman"/>
                <w:sz w:val="20"/>
                <w:szCs w:val="20"/>
                <w:lang w:eastAsia="ru-RU"/>
              </w:rPr>
            </w:pPr>
            <w:r w:rsidRPr="00AE28C6">
              <w:rPr>
                <w:rFonts w:ascii="Times New Roman" w:eastAsia="Times New Roman" w:hAnsi="Times New Roman" w:cs="Times New Roman"/>
                <w:sz w:val="20"/>
                <w:szCs w:val="20"/>
                <w:lang w:eastAsia="ru-RU"/>
              </w:rPr>
              <w:t>7</w:t>
            </w:r>
          </w:p>
        </w:tc>
        <w:tc>
          <w:tcPr>
            <w:tcW w:w="1638" w:type="dxa"/>
            <w:tcBorders>
              <w:bottom w:val="nil"/>
            </w:tcBorders>
            <w:vAlign w:val="center"/>
          </w:tcPr>
          <w:p w:rsidR="009342E4" w:rsidRPr="00AE28C6" w:rsidRDefault="009342E4" w:rsidP="00AE28C6">
            <w:pPr>
              <w:spacing w:line="360" w:lineRule="auto"/>
              <w:jc w:val="center"/>
              <w:rPr>
                <w:rFonts w:ascii="Times New Roman" w:eastAsia="Times New Roman" w:hAnsi="Times New Roman" w:cs="Times New Roman"/>
                <w:sz w:val="20"/>
                <w:szCs w:val="20"/>
                <w:lang w:eastAsia="ru-RU"/>
              </w:rPr>
            </w:pPr>
            <w:r w:rsidRPr="00AE28C6">
              <w:rPr>
                <w:rFonts w:ascii="Times New Roman" w:eastAsia="Times New Roman" w:hAnsi="Times New Roman" w:cs="Times New Roman"/>
                <w:sz w:val="20"/>
                <w:szCs w:val="20"/>
                <w:lang w:eastAsia="ru-RU"/>
              </w:rPr>
              <w:t>1983</w:t>
            </w:r>
          </w:p>
        </w:tc>
      </w:tr>
      <w:tr w:rsidR="009342E4" w:rsidRPr="00AE28C6" w:rsidTr="0047701A">
        <w:tc>
          <w:tcPr>
            <w:tcW w:w="558" w:type="dxa"/>
            <w:tcBorders>
              <w:bottom w:val="nil"/>
            </w:tcBorders>
          </w:tcPr>
          <w:p w:rsidR="009342E4" w:rsidRPr="00AE28C6" w:rsidRDefault="009342E4" w:rsidP="00AE28C6">
            <w:pPr>
              <w:spacing w:line="360" w:lineRule="auto"/>
              <w:jc w:val="center"/>
              <w:rPr>
                <w:rFonts w:ascii="Times New Roman" w:hAnsi="Times New Roman" w:cs="Times New Roman"/>
                <w:sz w:val="20"/>
                <w:szCs w:val="20"/>
              </w:rPr>
            </w:pPr>
            <w:r w:rsidRPr="00AE28C6">
              <w:rPr>
                <w:rFonts w:ascii="Times New Roman" w:hAnsi="Times New Roman" w:cs="Times New Roman"/>
                <w:sz w:val="20"/>
                <w:szCs w:val="20"/>
              </w:rPr>
              <w:t>7</w:t>
            </w:r>
          </w:p>
        </w:tc>
        <w:tc>
          <w:tcPr>
            <w:tcW w:w="5580" w:type="dxa"/>
            <w:tcBorders>
              <w:bottom w:val="nil"/>
            </w:tcBorders>
            <w:vAlign w:val="center"/>
          </w:tcPr>
          <w:p w:rsidR="009342E4" w:rsidRPr="00AE28C6" w:rsidRDefault="007F7C4D" w:rsidP="00AE28C6">
            <w:pPr>
              <w:spacing w:line="360" w:lineRule="auto"/>
              <w:rPr>
                <w:rFonts w:ascii="Times New Roman" w:eastAsia="Times New Roman" w:hAnsi="Times New Roman" w:cs="Times New Roman"/>
                <w:sz w:val="20"/>
                <w:szCs w:val="20"/>
                <w:lang w:val="ru-RU" w:eastAsia="ru-RU"/>
              </w:rPr>
            </w:pPr>
            <w:hyperlink r:id="rId15" w:history="1">
              <w:r w:rsidR="009342E4" w:rsidRPr="00AE28C6">
                <w:rPr>
                  <w:rFonts w:ascii="Times New Roman" w:eastAsia="Times New Roman" w:hAnsi="Times New Roman" w:cs="Times New Roman"/>
                  <w:sz w:val="20"/>
                  <w:szCs w:val="20"/>
                  <w:lang w:val="ru-RU" w:eastAsia="ru-RU"/>
                </w:rPr>
                <w:t>Bank Muamalat Malaysia Berhad</w:t>
              </w:r>
            </w:hyperlink>
          </w:p>
        </w:tc>
        <w:tc>
          <w:tcPr>
            <w:tcW w:w="1800" w:type="dxa"/>
            <w:tcBorders>
              <w:bottom w:val="nil"/>
            </w:tcBorders>
            <w:vAlign w:val="center"/>
          </w:tcPr>
          <w:p w:rsidR="009342E4" w:rsidRPr="00AE28C6" w:rsidRDefault="009342E4" w:rsidP="00AE28C6">
            <w:pPr>
              <w:spacing w:line="360" w:lineRule="auto"/>
              <w:jc w:val="center"/>
              <w:rPr>
                <w:rFonts w:ascii="Times New Roman" w:eastAsia="Times New Roman" w:hAnsi="Times New Roman" w:cs="Times New Roman"/>
                <w:sz w:val="20"/>
                <w:szCs w:val="20"/>
                <w:lang w:eastAsia="ru-RU"/>
              </w:rPr>
            </w:pPr>
            <w:r w:rsidRPr="00AE28C6">
              <w:rPr>
                <w:rFonts w:ascii="Times New Roman" w:eastAsia="Times New Roman" w:hAnsi="Times New Roman" w:cs="Times New Roman"/>
                <w:sz w:val="20"/>
                <w:szCs w:val="20"/>
                <w:lang w:eastAsia="ru-RU"/>
              </w:rPr>
              <w:t>7</w:t>
            </w:r>
          </w:p>
        </w:tc>
        <w:tc>
          <w:tcPr>
            <w:tcW w:w="1638" w:type="dxa"/>
            <w:tcBorders>
              <w:bottom w:val="nil"/>
            </w:tcBorders>
            <w:vAlign w:val="center"/>
          </w:tcPr>
          <w:p w:rsidR="009342E4" w:rsidRPr="00AE28C6" w:rsidRDefault="009342E4" w:rsidP="00AE28C6">
            <w:pPr>
              <w:spacing w:line="360" w:lineRule="auto"/>
              <w:jc w:val="center"/>
              <w:rPr>
                <w:rFonts w:ascii="Times New Roman" w:eastAsia="Times New Roman" w:hAnsi="Times New Roman" w:cs="Times New Roman"/>
                <w:sz w:val="20"/>
                <w:szCs w:val="20"/>
                <w:lang w:eastAsia="ru-RU"/>
              </w:rPr>
            </w:pPr>
            <w:r w:rsidRPr="00AE28C6">
              <w:rPr>
                <w:rFonts w:ascii="Times New Roman" w:eastAsia="Times New Roman" w:hAnsi="Times New Roman" w:cs="Times New Roman"/>
                <w:sz w:val="20"/>
                <w:szCs w:val="20"/>
                <w:lang w:eastAsia="ru-RU"/>
              </w:rPr>
              <w:t>1999</w:t>
            </w:r>
          </w:p>
        </w:tc>
      </w:tr>
      <w:tr w:rsidR="009342E4" w:rsidRPr="00AE28C6" w:rsidTr="0047701A">
        <w:tc>
          <w:tcPr>
            <w:tcW w:w="558" w:type="dxa"/>
            <w:tcBorders>
              <w:bottom w:val="nil"/>
            </w:tcBorders>
          </w:tcPr>
          <w:p w:rsidR="009342E4" w:rsidRPr="00AE28C6" w:rsidRDefault="009342E4" w:rsidP="00AE28C6">
            <w:pPr>
              <w:spacing w:line="360" w:lineRule="auto"/>
              <w:jc w:val="center"/>
              <w:rPr>
                <w:rFonts w:ascii="Times New Roman" w:hAnsi="Times New Roman" w:cs="Times New Roman"/>
                <w:sz w:val="20"/>
                <w:szCs w:val="20"/>
              </w:rPr>
            </w:pPr>
            <w:r w:rsidRPr="00AE28C6">
              <w:rPr>
                <w:rFonts w:ascii="Times New Roman" w:hAnsi="Times New Roman" w:cs="Times New Roman"/>
                <w:sz w:val="20"/>
                <w:szCs w:val="20"/>
              </w:rPr>
              <w:t>8</w:t>
            </w:r>
          </w:p>
        </w:tc>
        <w:tc>
          <w:tcPr>
            <w:tcW w:w="5580" w:type="dxa"/>
            <w:tcBorders>
              <w:bottom w:val="nil"/>
            </w:tcBorders>
            <w:vAlign w:val="center"/>
          </w:tcPr>
          <w:p w:rsidR="009342E4" w:rsidRPr="00AE28C6" w:rsidRDefault="007F7C4D" w:rsidP="00AE28C6">
            <w:pPr>
              <w:spacing w:line="360" w:lineRule="auto"/>
              <w:rPr>
                <w:rFonts w:ascii="Times New Roman" w:eastAsia="Times New Roman" w:hAnsi="Times New Roman" w:cs="Times New Roman"/>
                <w:sz w:val="20"/>
                <w:szCs w:val="20"/>
                <w:lang w:val="ru-RU" w:eastAsia="ru-RU"/>
              </w:rPr>
            </w:pPr>
            <w:hyperlink r:id="rId16" w:history="1">
              <w:r w:rsidR="009342E4" w:rsidRPr="00AE28C6">
                <w:rPr>
                  <w:rFonts w:ascii="Times New Roman" w:eastAsia="Times New Roman" w:hAnsi="Times New Roman" w:cs="Times New Roman"/>
                  <w:sz w:val="20"/>
                  <w:szCs w:val="20"/>
                  <w:lang w:val="ru-RU" w:eastAsia="ru-RU"/>
                </w:rPr>
                <w:t>CIMB Islamic Bank Berhad</w:t>
              </w:r>
            </w:hyperlink>
          </w:p>
        </w:tc>
        <w:tc>
          <w:tcPr>
            <w:tcW w:w="1800" w:type="dxa"/>
            <w:tcBorders>
              <w:bottom w:val="nil"/>
            </w:tcBorders>
            <w:vAlign w:val="center"/>
          </w:tcPr>
          <w:p w:rsidR="009342E4" w:rsidRPr="00AE28C6" w:rsidRDefault="00E157D6" w:rsidP="00AE28C6">
            <w:pPr>
              <w:spacing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638" w:type="dxa"/>
            <w:tcBorders>
              <w:bottom w:val="nil"/>
            </w:tcBorders>
            <w:vAlign w:val="center"/>
          </w:tcPr>
          <w:p w:rsidR="009342E4" w:rsidRPr="00AE28C6" w:rsidRDefault="00E157D6" w:rsidP="00AE28C6">
            <w:pPr>
              <w:spacing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2005</w:t>
            </w:r>
          </w:p>
        </w:tc>
      </w:tr>
      <w:tr w:rsidR="009342E4" w:rsidRPr="00AE28C6" w:rsidTr="0047701A">
        <w:tc>
          <w:tcPr>
            <w:tcW w:w="558" w:type="dxa"/>
            <w:tcBorders>
              <w:bottom w:val="nil"/>
            </w:tcBorders>
          </w:tcPr>
          <w:p w:rsidR="009342E4" w:rsidRPr="00AE28C6" w:rsidRDefault="009342E4" w:rsidP="00AE28C6">
            <w:pPr>
              <w:spacing w:line="360" w:lineRule="auto"/>
              <w:jc w:val="center"/>
              <w:rPr>
                <w:rFonts w:ascii="Times New Roman" w:hAnsi="Times New Roman" w:cs="Times New Roman"/>
                <w:sz w:val="20"/>
                <w:szCs w:val="20"/>
              </w:rPr>
            </w:pPr>
            <w:r w:rsidRPr="00AE28C6">
              <w:rPr>
                <w:rFonts w:ascii="Times New Roman" w:hAnsi="Times New Roman" w:cs="Times New Roman"/>
                <w:sz w:val="20"/>
                <w:szCs w:val="20"/>
              </w:rPr>
              <w:t>9</w:t>
            </w:r>
          </w:p>
        </w:tc>
        <w:tc>
          <w:tcPr>
            <w:tcW w:w="5580" w:type="dxa"/>
            <w:tcBorders>
              <w:bottom w:val="nil"/>
            </w:tcBorders>
            <w:vAlign w:val="center"/>
          </w:tcPr>
          <w:p w:rsidR="009342E4" w:rsidRPr="00AE28C6" w:rsidRDefault="007F7C4D" w:rsidP="00AE28C6">
            <w:pPr>
              <w:spacing w:line="360" w:lineRule="auto"/>
              <w:rPr>
                <w:rFonts w:ascii="Times New Roman" w:eastAsia="Times New Roman" w:hAnsi="Times New Roman" w:cs="Times New Roman"/>
                <w:sz w:val="20"/>
                <w:szCs w:val="20"/>
                <w:lang w:val="ru-RU" w:eastAsia="ru-RU"/>
              </w:rPr>
            </w:pPr>
            <w:hyperlink r:id="rId17" w:history="1">
              <w:r w:rsidR="009342E4" w:rsidRPr="00AE28C6">
                <w:rPr>
                  <w:rFonts w:ascii="Times New Roman" w:eastAsia="Times New Roman" w:hAnsi="Times New Roman" w:cs="Times New Roman"/>
                  <w:sz w:val="20"/>
                  <w:szCs w:val="20"/>
                  <w:lang w:val="ru-RU" w:eastAsia="ru-RU"/>
                </w:rPr>
                <w:t>HSBC Amanah Malaysia Berhad</w:t>
              </w:r>
            </w:hyperlink>
          </w:p>
        </w:tc>
        <w:tc>
          <w:tcPr>
            <w:tcW w:w="1800" w:type="dxa"/>
            <w:tcBorders>
              <w:bottom w:val="nil"/>
            </w:tcBorders>
            <w:vAlign w:val="center"/>
          </w:tcPr>
          <w:p w:rsidR="009342E4" w:rsidRPr="00AE28C6" w:rsidRDefault="009342E4" w:rsidP="00AE28C6">
            <w:pPr>
              <w:spacing w:line="360" w:lineRule="auto"/>
              <w:jc w:val="center"/>
              <w:rPr>
                <w:rFonts w:ascii="Times New Roman" w:eastAsia="Times New Roman" w:hAnsi="Times New Roman" w:cs="Times New Roman"/>
                <w:sz w:val="20"/>
                <w:szCs w:val="20"/>
                <w:lang w:eastAsia="ru-RU"/>
              </w:rPr>
            </w:pPr>
            <w:r w:rsidRPr="00AE28C6">
              <w:rPr>
                <w:rFonts w:ascii="Times New Roman" w:eastAsia="Times New Roman" w:hAnsi="Times New Roman" w:cs="Times New Roman"/>
                <w:sz w:val="20"/>
                <w:szCs w:val="20"/>
                <w:lang w:eastAsia="ru-RU"/>
              </w:rPr>
              <w:t>4</w:t>
            </w:r>
          </w:p>
        </w:tc>
        <w:tc>
          <w:tcPr>
            <w:tcW w:w="1638" w:type="dxa"/>
            <w:tcBorders>
              <w:bottom w:val="nil"/>
            </w:tcBorders>
            <w:vAlign w:val="center"/>
          </w:tcPr>
          <w:p w:rsidR="009342E4" w:rsidRPr="00AE28C6" w:rsidRDefault="009342E4" w:rsidP="00AE28C6">
            <w:pPr>
              <w:spacing w:line="360" w:lineRule="auto"/>
              <w:jc w:val="center"/>
              <w:rPr>
                <w:rFonts w:ascii="Times New Roman" w:eastAsia="Times New Roman" w:hAnsi="Times New Roman" w:cs="Times New Roman"/>
                <w:sz w:val="20"/>
                <w:szCs w:val="20"/>
                <w:lang w:eastAsia="ru-RU"/>
              </w:rPr>
            </w:pPr>
            <w:r w:rsidRPr="00AE28C6">
              <w:rPr>
                <w:rFonts w:ascii="Times New Roman" w:eastAsia="Times New Roman" w:hAnsi="Times New Roman" w:cs="Times New Roman"/>
                <w:sz w:val="20"/>
                <w:szCs w:val="20"/>
                <w:lang w:eastAsia="ru-RU"/>
              </w:rPr>
              <w:t>2008</w:t>
            </w:r>
          </w:p>
        </w:tc>
      </w:tr>
      <w:tr w:rsidR="009342E4" w:rsidRPr="00AE28C6" w:rsidTr="0047701A">
        <w:tc>
          <w:tcPr>
            <w:tcW w:w="558" w:type="dxa"/>
            <w:tcBorders>
              <w:bottom w:val="nil"/>
            </w:tcBorders>
          </w:tcPr>
          <w:p w:rsidR="009342E4" w:rsidRPr="00AE28C6" w:rsidRDefault="009342E4" w:rsidP="00AE28C6">
            <w:pPr>
              <w:spacing w:line="360" w:lineRule="auto"/>
              <w:jc w:val="center"/>
              <w:rPr>
                <w:rFonts w:ascii="Times New Roman" w:hAnsi="Times New Roman" w:cs="Times New Roman"/>
                <w:sz w:val="20"/>
                <w:szCs w:val="20"/>
              </w:rPr>
            </w:pPr>
            <w:r w:rsidRPr="00AE28C6">
              <w:rPr>
                <w:rFonts w:ascii="Times New Roman" w:hAnsi="Times New Roman" w:cs="Times New Roman"/>
                <w:sz w:val="20"/>
                <w:szCs w:val="20"/>
              </w:rPr>
              <w:t>10</w:t>
            </w:r>
          </w:p>
        </w:tc>
        <w:tc>
          <w:tcPr>
            <w:tcW w:w="5580" w:type="dxa"/>
            <w:tcBorders>
              <w:bottom w:val="nil"/>
            </w:tcBorders>
            <w:vAlign w:val="center"/>
          </w:tcPr>
          <w:p w:rsidR="009342E4" w:rsidRPr="00AE28C6" w:rsidRDefault="007F7C4D" w:rsidP="00AE28C6">
            <w:pPr>
              <w:spacing w:line="360" w:lineRule="auto"/>
              <w:rPr>
                <w:rFonts w:ascii="Times New Roman" w:eastAsia="Times New Roman" w:hAnsi="Times New Roman" w:cs="Times New Roman"/>
                <w:sz w:val="20"/>
                <w:szCs w:val="20"/>
                <w:lang w:eastAsia="ru-RU"/>
              </w:rPr>
            </w:pPr>
            <w:hyperlink r:id="rId18" w:history="1">
              <w:r w:rsidR="009342E4" w:rsidRPr="00AE28C6">
                <w:rPr>
                  <w:rFonts w:ascii="Times New Roman" w:eastAsia="Times New Roman" w:hAnsi="Times New Roman" w:cs="Times New Roman"/>
                  <w:sz w:val="20"/>
                  <w:szCs w:val="20"/>
                  <w:lang w:eastAsia="ru-RU"/>
                </w:rPr>
                <w:t>Hong Leong Islamic Bank Berhad</w:t>
              </w:r>
            </w:hyperlink>
          </w:p>
        </w:tc>
        <w:tc>
          <w:tcPr>
            <w:tcW w:w="1800" w:type="dxa"/>
            <w:tcBorders>
              <w:bottom w:val="nil"/>
            </w:tcBorders>
            <w:vAlign w:val="center"/>
          </w:tcPr>
          <w:p w:rsidR="009342E4" w:rsidRPr="00AE28C6" w:rsidRDefault="009342E4" w:rsidP="00AE28C6">
            <w:pPr>
              <w:spacing w:line="360" w:lineRule="auto"/>
              <w:jc w:val="center"/>
              <w:rPr>
                <w:rFonts w:ascii="Times New Roman" w:eastAsia="Times New Roman" w:hAnsi="Times New Roman" w:cs="Times New Roman"/>
                <w:sz w:val="20"/>
                <w:szCs w:val="20"/>
                <w:lang w:eastAsia="ru-RU"/>
              </w:rPr>
            </w:pPr>
            <w:r w:rsidRPr="00AE28C6">
              <w:rPr>
                <w:rFonts w:ascii="Times New Roman" w:eastAsia="Times New Roman" w:hAnsi="Times New Roman" w:cs="Times New Roman"/>
                <w:sz w:val="20"/>
                <w:szCs w:val="20"/>
                <w:lang w:eastAsia="ru-RU"/>
              </w:rPr>
              <w:t>7</w:t>
            </w:r>
          </w:p>
        </w:tc>
        <w:tc>
          <w:tcPr>
            <w:tcW w:w="1638" w:type="dxa"/>
            <w:tcBorders>
              <w:bottom w:val="nil"/>
            </w:tcBorders>
            <w:vAlign w:val="center"/>
          </w:tcPr>
          <w:p w:rsidR="009342E4" w:rsidRPr="00AE28C6" w:rsidRDefault="009342E4" w:rsidP="00AE28C6">
            <w:pPr>
              <w:spacing w:line="360" w:lineRule="auto"/>
              <w:jc w:val="center"/>
              <w:rPr>
                <w:rFonts w:ascii="Times New Roman" w:eastAsia="Times New Roman" w:hAnsi="Times New Roman" w:cs="Times New Roman"/>
                <w:sz w:val="20"/>
                <w:szCs w:val="20"/>
                <w:lang w:eastAsia="ru-RU"/>
              </w:rPr>
            </w:pPr>
            <w:r w:rsidRPr="00AE28C6">
              <w:rPr>
                <w:rFonts w:ascii="Times New Roman" w:eastAsia="Times New Roman" w:hAnsi="Times New Roman" w:cs="Times New Roman"/>
                <w:sz w:val="20"/>
                <w:szCs w:val="20"/>
                <w:lang w:eastAsia="ru-RU"/>
              </w:rPr>
              <w:t>2005</w:t>
            </w:r>
          </w:p>
        </w:tc>
      </w:tr>
      <w:tr w:rsidR="009342E4" w:rsidRPr="00AE28C6" w:rsidTr="0047701A">
        <w:tc>
          <w:tcPr>
            <w:tcW w:w="558" w:type="dxa"/>
            <w:tcBorders>
              <w:bottom w:val="nil"/>
            </w:tcBorders>
          </w:tcPr>
          <w:p w:rsidR="009342E4" w:rsidRPr="00AE28C6" w:rsidRDefault="009342E4" w:rsidP="00AE28C6">
            <w:pPr>
              <w:spacing w:line="360" w:lineRule="auto"/>
              <w:jc w:val="center"/>
              <w:rPr>
                <w:rFonts w:ascii="Times New Roman" w:hAnsi="Times New Roman" w:cs="Times New Roman"/>
                <w:sz w:val="20"/>
                <w:szCs w:val="20"/>
              </w:rPr>
            </w:pPr>
            <w:r w:rsidRPr="00AE28C6">
              <w:rPr>
                <w:rFonts w:ascii="Times New Roman" w:hAnsi="Times New Roman" w:cs="Times New Roman"/>
                <w:sz w:val="20"/>
                <w:szCs w:val="20"/>
              </w:rPr>
              <w:t>11</w:t>
            </w:r>
          </w:p>
        </w:tc>
        <w:tc>
          <w:tcPr>
            <w:tcW w:w="5580" w:type="dxa"/>
            <w:tcBorders>
              <w:bottom w:val="nil"/>
            </w:tcBorders>
            <w:vAlign w:val="center"/>
          </w:tcPr>
          <w:p w:rsidR="009342E4" w:rsidRPr="00AE28C6" w:rsidRDefault="007F7C4D" w:rsidP="00AE28C6">
            <w:pPr>
              <w:spacing w:line="360" w:lineRule="auto"/>
              <w:rPr>
                <w:rFonts w:ascii="Times New Roman" w:eastAsia="Times New Roman" w:hAnsi="Times New Roman" w:cs="Times New Roman"/>
                <w:sz w:val="20"/>
                <w:szCs w:val="20"/>
                <w:lang w:eastAsia="ru-RU"/>
              </w:rPr>
            </w:pPr>
            <w:hyperlink r:id="rId19" w:history="1">
              <w:r w:rsidR="009342E4" w:rsidRPr="00AE28C6">
                <w:rPr>
                  <w:rFonts w:ascii="Times New Roman" w:eastAsia="Times New Roman" w:hAnsi="Times New Roman" w:cs="Times New Roman"/>
                  <w:sz w:val="20"/>
                  <w:szCs w:val="20"/>
                  <w:lang w:eastAsia="ru-RU"/>
                </w:rPr>
                <w:t>Kuwait Finance House (Malaysia) Berhad</w:t>
              </w:r>
            </w:hyperlink>
          </w:p>
        </w:tc>
        <w:tc>
          <w:tcPr>
            <w:tcW w:w="1800" w:type="dxa"/>
            <w:tcBorders>
              <w:bottom w:val="nil"/>
            </w:tcBorders>
            <w:vAlign w:val="center"/>
          </w:tcPr>
          <w:p w:rsidR="009342E4" w:rsidRPr="00AE28C6" w:rsidRDefault="009342E4" w:rsidP="00AE28C6">
            <w:pPr>
              <w:spacing w:line="360" w:lineRule="auto"/>
              <w:jc w:val="center"/>
              <w:rPr>
                <w:rFonts w:ascii="Times New Roman" w:eastAsia="Times New Roman" w:hAnsi="Times New Roman" w:cs="Times New Roman"/>
                <w:sz w:val="20"/>
                <w:szCs w:val="20"/>
                <w:lang w:eastAsia="ru-RU"/>
              </w:rPr>
            </w:pPr>
            <w:r w:rsidRPr="00AE28C6">
              <w:rPr>
                <w:rFonts w:ascii="Times New Roman" w:eastAsia="Times New Roman" w:hAnsi="Times New Roman" w:cs="Times New Roman"/>
                <w:sz w:val="20"/>
                <w:szCs w:val="20"/>
                <w:lang w:eastAsia="ru-RU"/>
              </w:rPr>
              <w:t>7</w:t>
            </w:r>
          </w:p>
        </w:tc>
        <w:tc>
          <w:tcPr>
            <w:tcW w:w="1638" w:type="dxa"/>
            <w:tcBorders>
              <w:bottom w:val="nil"/>
            </w:tcBorders>
            <w:vAlign w:val="center"/>
          </w:tcPr>
          <w:p w:rsidR="009342E4" w:rsidRPr="00AE28C6" w:rsidRDefault="009342E4" w:rsidP="00AE28C6">
            <w:pPr>
              <w:spacing w:line="360" w:lineRule="auto"/>
              <w:jc w:val="center"/>
              <w:rPr>
                <w:rFonts w:ascii="Times New Roman" w:eastAsia="Times New Roman" w:hAnsi="Times New Roman" w:cs="Times New Roman"/>
                <w:sz w:val="20"/>
                <w:szCs w:val="20"/>
                <w:lang w:eastAsia="ru-RU"/>
              </w:rPr>
            </w:pPr>
            <w:r w:rsidRPr="00AE28C6">
              <w:rPr>
                <w:rFonts w:ascii="Times New Roman" w:eastAsia="Times New Roman" w:hAnsi="Times New Roman" w:cs="Times New Roman"/>
                <w:sz w:val="20"/>
                <w:szCs w:val="20"/>
                <w:lang w:eastAsia="ru-RU"/>
              </w:rPr>
              <w:t>2005</w:t>
            </w:r>
          </w:p>
        </w:tc>
      </w:tr>
      <w:tr w:rsidR="009342E4" w:rsidRPr="00AE28C6" w:rsidTr="0047701A">
        <w:tc>
          <w:tcPr>
            <w:tcW w:w="558" w:type="dxa"/>
            <w:tcBorders>
              <w:bottom w:val="nil"/>
            </w:tcBorders>
          </w:tcPr>
          <w:p w:rsidR="009342E4" w:rsidRPr="00AE28C6" w:rsidRDefault="009342E4" w:rsidP="00AE28C6">
            <w:pPr>
              <w:spacing w:line="360" w:lineRule="auto"/>
              <w:jc w:val="center"/>
              <w:rPr>
                <w:rFonts w:ascii="Times New Roman" w:hAnsi="Times New Roman" w:cs="Times New Roman"/>
                <w:sz w:val="20"/>
                <w:szCs w:val="20"/>
              </w:rPr>
            </w:pPr>
            <w:r w:rsidRPr="00AE28C6">
              <w:rPr>
                <w:rFonts w:ascii="Times New Roman" w:hAnsi="Times New Roman" w:cs="Times New Roman"/>
                <w:sz w:val="20"/>
                <w:szCs w:val="20"/>
              </w:rPr>
              <w:t>12</w:t>
            </w:r>
          </w:p>
        </w:tc>
        <w:tc>
          <w:tcPr>
            <w:tcW w:w="5580" w:type="dxa"/>
            <w:tcBorders>
              <w:bottom w:val="nil"/>
            </w:tcBorders>
            <w:vAlign w:val="center"/>
          </w:tcPr>
          <w:p w:rsidR="009342E4" w:rsidRPr="00AE28C6" w:rsidRDefault="007F7C4D" w:rsidP="00AE28C6">
            <w:pPr>
              <w:spacing w:line="360" w:lineRule="auto"/>
              <w:rPr>
                <w:rFonts w:ascii="Times New Roman" w:eastAsia="Times New Roman" w:hAnsi="Times New Roman" w:cs="Times New Roman"/>
                <w:sz w:val="20"/>
                <w:szCs w:val="20"/>
                <w:lang w:val="ru-RU" w:eastAsia="ru-RU"/>
              </w:rPr>
            </w:pPr>
            <w:hyperlink r:id="rId20" w:history="1">
              <w:r w:rsidR="009342E4" w:rsidRPr="00AE28C6">
                <w:rPr>
                  <w:rFonts w:ascii="Times New Roman" w:eastAsia="Times New Roman" w:hAnsi="Times New Roman" w:cs="Times New Roman"/>
                  <w:sz w:val="20"/>
                  <w:szCs w:val="20"/>
                  <w:lang w:val="ru-RU" w:eastAsia="ru-RU"/>
                </w:rPr>
                <w:t>Maybank Islamic Berhad</w:t>
              </w:r>
            </w:hyperlink>
          </w:p>
        </w:tc>
        <w:tc>
          <w:tcPr>
            <w:tcW w:w="1800" w:type="dxa"/>
            <w:tcBorders>
              <w:bottom w:val="nil"/>
            </w:tcBorders>
            <w:vAlign w:val="center"/>
          </w:tcPr>
          <w:p w:rsidR="009342E4" w:rsidRPr="00AE28C6" w:rsidRDefault="009342E4" w:rsidP="00AE28C6">
            <w:pPr>
              <w:spacing w:line="360" w:lineRule="auto"/>
              <w:jc w:val="center"/>
              <w:rPr>
                <w:rFonts w:ascii="Times New Roman" w:eastAsia="Times New Roman" w:hAnsi="Times New Roman" w:cs="Times New Roman"/>
                <w:sz w:val="20"/>
                <w:szCs w:val="20"/>
                <w:lang w:eastAsia="ru-RU"/>
              </w:rPr>
            </w:pPr>
            <w:r w:rsidRPr="00AE28C6">
              <w:rPr>
                <w:rFonts w:ascii="Times New Roman" w:eastAsia="Times New Roman" w:hAnsi="Times New Roman" w:cs="Times New Roman"/>
                <w:sz w:val="20"/>
                <w:szCs w:val="20"/>
                <w:lang w:eastAsia="ru-RU"/>
              </w:rPr>
              <w:t>4</w:t>
            </w:r>
          </w:p>
        </w:tc>
        <w:tc>
          <w:tcPr>
            <w:tcW w:w="1638" w:type="dxa"/>
            <w:tcBorders>
              <w:bottom w:val="nil"/>
            </w:tcBorders>
            <w:vAlign w:val="center"/>
          </w:tcPr>
          <w:p w:rsidR="009342E4" w:rsidRPr="00AE28C6" w:rsidRDefault="009342E4" w:rsidP="00AE28C6">
            <w:pPr>
              <w:spacing w:line="360" w:lineRule="auto"/>
              <w:jc w:val="center"/>
              <w:rPr>
                <w:rFonts w:ascii="Times New Roman" w:eastAsia="Times New Roman" w:hAnsi="Times New Roman" w:cs="Times New Roman"/>
                <w:sz w:val="20"/>
                <w:szCs w:val="20"/>
                <w:lang w:eastAsia="ru-RU"/>
              </w:rPr>
            </w:pPr>
            <w:r w:rsidRPr="00AE28C6">
              <w:rPr>
                <w:rFonts w:ascii="Times New Roman" w:eastAsia="Times New Roman" w:hAnsi="Times New Roman" w:cs="Times New Roman"/>
                <w:sz w:val="20"/>
                <w:szCs w:val="20"/>
                <w:lang w:eastAsia="ru-RU"/>
              </w:rPr>
              <w:t>2007</w:t>
            </w:r>
          </w:p>
        </w:tc>
      </w:tr>
      <w:tr w:rsidR="009342E4" w:rsidRPr="00AE28C6" w:rsidTr="0047701A">
        <w:tc>
          <w:tcPr>
            <w:tcW w:w="558" w:type="dxa"/>
            <w:tcBorders>
              <w:bottom w:val="nil"/>
            </w:tcBorders>
          </w:tcPr>
          <w:p w:rsidR="009342E4" w:rsidRPr="00AE28C6" w:rsidRDefault="009342E4" w:rsidP="00AE28C6">
            <w:pPr>
              <w:spacing w:line="360" w:lineRule="auto"/>
              <w:jc w:val="center"/>
              <w:rPr>
                <w:rFonts w:ascii="Times New Roman" w:hAnsi="Times New Roman" w:cs="Times New Roman"/>
                <w:sz w:val="20"/>
                <w:szCs w:val="20"/>
              </w:rPr>
            </w:pPr>
            <w:r w:rsidRPr="00AE28C6">
              <w:rPr>
                <w:rFonts w:ascii="Times New Roman" w:hAnsi="Times New Roman" w:cs="Times New Roman"/>
                <w:sz w:val="20"/>
                <w:szCs w:val="20"/>
              </w:rPr>
              <w:t>13</w:t>
            </w:r>
          </w:p>
        </w:tc>
        <w:tc>
          <w:tcPr>
            <w:tcW w:w="5580" w:type="dxa"/>
            <w:tcBorders>
              <w:bottom w:val="nil"/>
            </w:tcBorders>
            <w:vAlign w:val="center"/>
          </w:tcPr>
          <w:p w:rsidR="009342E4" w:rsidRPr="00AE28C6" w:rsidRDefault="007F7C4D" w:rsidP="00AE28C6">
            <w:pPr>
              <w:spacing w:line="360" w:lineRule="auto"/>
              <w:rPr>
                <w:rFonts w:ascii="Times New Roman" w:eastAsia="Times New Roman" w:hAnsi="Times New Roman" w:cs="Times New Roman"/>
                <w:sz w:val="20"/>
                <w:szCs w:val="20"/>
                <w:lang w:val="ru-RU" w:eastAsia="ru-RU"/>
              </w:rPr>
            </w:pPr>
            <w:hyperlink r:id="rId21" w:history="1">
              <w:r w:rsidR="009342E4" w:rsidRPr="00AE28C6">
                <w:rPr>
                  <w:rFonts w:ascii="Times New Roman" w:eastAsia="Times New Roman" w:hAnsi="Times New Roman" w:cs="Times New Roman"/>
                  <w:sz w:val="20"/>
                  <w:szCs w:val="20"/>
                  <w:lang w:val="ru-RU" w:eastAsia="ru-RU"/>
                </w:rPr>
                <w:t>OCBC Al-Amin Bank Berhad</w:t>
              </w:r>
            </w:hyperlink>
          </w:p>
        </w:tc>
        <w:tc>
          <w:tcPr>
            <w:tcW w:w="1800" w:type="dxa"/>
            <w:tcBorders>
              <w:bottom w:val="nil"/>
            </w:tcBorders>
            <w:vAlign w:val="center"/>
          </w:tcPr>
          <w:p w:rsidR="009342E4" w:rsidRPr="00AE28C6" w:rsidRDefault="009342E4" w:rsidP="00AE28C6">
            <w:pPr>
              <w:spacing w:line="360" w:lineRule="auto"/>
              <w:jc w:val="center"/>
              <w:rPr>
                <w:rFonts w:ascii="Times New Roman" w:eastAsia="Times New Roman" w:hAnsi="Times New Roman" w:cs="Times New Roman"/>
                <w:sz w:val="20"/>
                <w:szCs w:val="20"/>
                <w:lang w:eastAsia="ru-RU"/>
              </w:rPr>
            </w:pPr>
            <w:r w:rsidRPr="00AE28C6">
              <w:rPr>
                <w:rFonts w:ascii="Times New Roman" w:eastAsia="Times New Roman" w:hAnsi="Times New Roman" w:cs="Times New Roman"/>
                <w:sz w:val="20"/>
                <w:szCs w:val="20"/>
                <w:lang w:eastAsia="ru-RU"/>
              </w:rPr>
              <w:t>4</w:t>
            </w:r>
          </w:p>
        </w:tc>
        <w:tc>
          <w:tcPr>
            <w:tcW w:w="1638" w:type="dxa"/>
            <w:tcBorders>
              <w:bottom w:val="nil"/>
            </w:tcBorders>
            <w:vAlign w:val="center"/>
          </w:tcPr>
          <w:p w:rsidR="009342E4" w:rsidRPr="00AE28C6" w:rsidRDefault="009342E4" w:rsidP="00AE28C6">
            <w:pPr>
              <w:spacing w:line="360" w:lineRule="auto"/>
              <w:jc w:val="center"/>
              <w:rPr>
                <w:rFonts w:ascii="Times New Roman" w:eastAsia="Times New Roman" w:hAnsi="Times New Roman" w:cs="Times New Roman"/>
                <w:sz w:val="20"/>
                <w:szCs w:val="20"/>
                <w:lang w:eastAsia="ru-RU"/>
              </w:rPr>
            </w:pPr>
            <w:r w:rsidRPr="00AE28C6">
              <w:rPr>
                <w:rFonts w:ascii="Times New Roman" w:eastAsia="Times New Roman" w:hAnsi="Times New Roman" w:cs="Times New Roman"/>
                <w:sz w:val="20"/>
                <w:szCs w:val="20"/>
                <w:lang w:eastAsia="ru-RU"/>
              </w:rPr>
              <w:t>2008</w:t>
            </w:r>
          </w:p>
        </w:tc>
      </w:tr>
      <w:tr w:rsidR="009342E4" w:rsidRPr="00AE28C6" w:rsidTr="0047701A">
        <w:tc>
          <w:tcPr>
            <w:tcW w:w="558" w:type="dxa"/>
            <w:tcBorders>
              <w:bottom w:val="nil"/>
            </w:tcBorders>
          </w:tcPr>
          <w:p w:rsidR="009342E4" w:rsidRPr="00AE28C6" w:rsidRDefault="009342E4" w:rsidP="00AE28C6">
            <w:pPr>
              <w:spacing w:line="360" w:lineRule="auto"/>
              <w:jc w:val="center"/>
              <w:rPr>
                <w:rFonts w:ascii="Times New Roman" w:hAnsi="Times New Roman" w:cs="Times New Roman"/>
                <w:sz w:val="20"/>
                <w:szCs w:val="20"/>
              </w:rPr>
            </w:pPr>
            <w:r w:rsidRPr="00AE28C6">
              <w:rPr>
                <w:rFonts w:ascii="Times New Roman" w:hAnsi="Times New Roman" w:cs="Times New Roman"/>
                <w:sz w:val="20"/>
                <w:szCs w:val="20"/>
              </w:rPr>
              <w:t>14</w:t>
            </w:r>
          </w:p>
        </w:tc>
        <w:tc>
          <w:tcPr>
            <w:tcW w:w="5580" w:type="dxa"/>
            <w:tcBorders>
              <w:bottom w:val="nil"/>
            </w:tcBorders>
            <w:vAlign w:val="center"/>
          </w:tcPr>
          <w:p w:rsidR="009342E4" w:rsidRPr="00AE28C6" w:rsidRDefault="007F7C4D" w:rsidP="00AE28C6">
            <w:pPr>
              <w:spacing w:line="360" w:lineRule="auto"/>
              <w:rPr>
                <w:rFonts w:ascii="Times New Roman" w:eastAsia="Times New Roman" w:hAnsi="Times New Roman" w:cs="Times New Roman"/>
                <w:sz w:val="20"/>
                <w:szCs w:val="20"/>
                <w:lang w:val="ru-RU" w:eastAsia="ru-RU"/>
              </w:rPr>
            </w:pPr>
            <w:hyperlink r:id="rId22" w:history="1">
              <w:r w:rsidR="009342E4" w:rsidRPr="00AE28C6">
                <w:rPr>
                  <w:rFonts w:ascii="Times New Roman" w:eastAsia="Times New Roman" w:hAnsi="Times New Roman" w:cs="Times New Roman"/>
                  <w:sz w:val="20"/>
                  <w:szCs w:val="20"/>
                  <w:lang w:val="ru-RU" w:eastAsia="ru-RU"/>
                </w:rPr>
                <w:t>Public Islamic Bank Berhad</w:t>
              </w:r>
            </w:hyperlink>
          </w:p>
        </w:tc>
        <w:tc>
          <w:tcPr>
            <w:tcW w:w="1800" w:type="dxa"/>
            <w:tcBorders>
              <w:bottom w:val="nil"/>
            </w:tcBorders>
            <w:vAlign w:val="center"/>
          </w:tcPr>
          <w:p w:rsidR="009342E4" w:rsidRPr="00AE28C6" w:rsidRDefault="009342E4" w:rsidP="00AE28C6">
            <w:pPr>
              <w:spacing w:line="360" w:lineRule="auto"/>
              <w:jc w:val="center"/>
              <w:rPr>
                <w:rFonts w:ascii="Times New Roman" w:eastAsia="Times New Roman" w:hAnsi="Times New Roman" w:cs="Times New Roman"/>
                <w:sz w:val="20"/>
                <w:szCs w:val="20"/>
                <w:lang w:eastAsia="ru-RU"/>
              </w:rPr>
            </w:pPr>
            <w:r w:rsidRPr="00AE28C6">
              <w:rPr>
                <w:rFonts w:ascii="Times New Roman" w:eastAsia="Times New Roman" w:hAnsi="Times New Roman" w:cs="Times New Roman"/>
                <w:sz w:val="20"/>
                <w:szCs w:val="20"/>
                <w:lang w:eastAsia="ru-RU"/>
              </w:rPr>
              <w:t>4</w:t>
            </w:r>
          </w:p>
        </w:tc>
        <w:tc>
          <w:tcPr>
            <w:tcW w:w="1638" w:type="dxa"/>
            <w:tcBorders>
              <w:bottom w:val="nil"/>
            </w:tcBorders>
            <w:vAlign w:val="center"/>
          </w:tcPr>
          <w:p w:rsidR="009342E4" w:rsidRPr="00AE28C6" w:rsidRDefault="009342E4" w:rsidP="00AE28C6">
            <w:pPr>
              <w:spacing w:line="360" w:lineRule="auto"/>
              <w:jc w:val="center"/>
              <w:rPr>
                <w:rFonts w:ascii="Times New Roman" w:eastAsia="Times New Roman" w:hAnsi="Times New Roman" w:cs="Times New Roman"/>
                <w:sz w:val="20"/>
                <w:szCs w:val="20"/>
                <w:lang w:eastAsia="ru-RU"/>
              </w:rPr>
            </w:pPr>
            <w:r w:rsidRPr="00AE28C6">
              <w:rPr>
                <w:rFonts w:ascii="Times New Roman" w:eastAsia="Times New Roman" w:hAnsi="Times New Roman" w:cs="Times New Roman"/>
                <w:sz w:val="20"/>
                <w:szCs w:val="20"/>
                <w:lang w:eastAsia="ru-RU"/>
              </w:rPr>
              <w:t>2008</w:t>
            </w:r>
          </w:p>
        </w:tc>
      </w:tr>
      <w:tr w:rsidR="009342E4" w:rsidRPr="00AE28C6" w:rsidTr="0047701A">
        <w:tc>
          <w:tcPr>
            <w:tcW w:w="558" w:type="dxa"/>
            <w:tcBorders>
              <w:bottom w:val="nil"/>
            </w:tcBorders>
          </w:tcPr>
          <w:p w:rsidR="009342E4" w:rsidRPr="00AE28C6" w:rsidRDefault="009342E4" w:rsidP="00AE28C6">
            <w:pPr>
              <w:spacing w:line="360" w:lineRule="auto"/>
              <w:jc w:val="center"/>
              <w:rPr>
                <w:rFonts w:ascii="Times New Roman" w:hAnsi="Times New Roman" w:cs="Times New Roman"/>
                <w:sz w:val="20"/>
                <w:szCs w:val="20"/>
              </w:rPr>
            </w:pPr>
            <w:r w:rsidRPr="00AE28C6">
              <w:rPr>
                <w:rFonts w:ascii="Times New Roman" w:hAnsi="Times New Roman" w:cs="Times New Roman"/>
                <w:sz w:val="20"/>
                <w:szCs w:val="20"/>
              </w:rPr>
              <w:t>15</w:t>
            </w:r>
          </w:p>
        </w:tc>
        <w:tc>
          <w:tcPr>
            <w:tcW w:w="5580" w:type="dxa"/>
            <w:tcBorders>
              <w:bottom w:val="nil"/>
            </w:tcBorders>
            <w:vAlign w:val="center"/>
          </w:tcPr>
          <w:p w:rsidR="009342E4" w:rsidRPr="00AE28C6" w:rsidRDefault="007F7C4D" w:rsidP="00AE28C6">
            <w:pPr>
              <w:spacing w:line="360" w:lineRule="auto"/>
              <w:rPr>
                <w:rFonts w:ascii="Times New Roman" w:eastAsia="Times New Roman" w:hAnsi="Times New Roman" w:cs="Times New Roman"/>
                <w:sz w:val="20"/>
                <w:szCs w:val="20"/>
                <w:lang w:val="ru-RU" w:eastAsia="ru-RU"/>
              </w:rPr>
            </w:pPr>
            <w:hyperlink r:id="rId23" w:history="1">
              <w:r w:rsidR="009342E4" w:rsidRPr="00AE28C6">
                <w:rPr>
                  <w:rFonts w:ascii="Times New Roman" w:eastAsia="Times New Roman" w:hAnsi="Times New Roman" w:cs="Times New Roman"/>
                  <w:sz w:val="20"/>
                  <w:szCs w:val="20"/>
                  <w:lang w:val="ru-RU" w:eastAsia="ru-RU"/>
                </w:rPr>
                <w:t>RHB Islamic Bank Berhad</w:t>
              </w:r>
            </w:hyperlink>
          </w:p>
        </w:tc>
        <w:tc>
          <w:tcPr>
            <w:tcW w:w="1800" w:type="dxa"/>
            <w:tcBorders>
              <w:bottom w:val="nil"/>
            </w:tcBorders>
            <w:vAlign w:val="center"/>
          </w:tcPr>
          <w:p w:rsidR="009342E4" w:rsidRPr="00AE28C6" w:rsidRDefault="009342E4" w:rsidP="00AE28C6">
            <w:pPr>
              <w:spacing w:line="360" w:lineRule="auto"/>
              <w:jc w:val="center"/>
              <w:rPr>
                <w:rFonts w:ascii="Times New Roman" w:eastAsia="Times New Roman" w:hAnsi="Times New Roman" w:cs="Times New Roman"/>
                <w:sz w:val="20"/>
                <w:szCs w:val="20"/>
                <w:lang w:eastAsia="ru-RU"/>
              </w:rPr>
            </w:pPr>
            <w:r w:rsidRPr="00AE28C6">
              <w:rPr>
                <w:rFonts w:ascii="Times New Roman" w:eastAsia="Times New Roman" w:hAnsi="Times New Roman" w:cs="Times New Roman"/>
                <w:sz w:val="20"/>
                <w:szCs w:val="20"/>
                <w:lang w:eastAsia="ru-RU"/>
              </w:rPr>
              <w:t>7</w:t>
            </w:r>
          </w:p>
        </w:tc>
        <w:tc>
          <w:tcPr>
            <w:tcW w:w="1638" w:type="dxa"/>
            <w:tcBorders>
              <w:bottom w:val="nil"/>
            </w:tcBorders>
            <w:vAlign w:val="center"/>
          </w:tcPr>
          <w:p w:rsidR="009342E4" w:rsidRPr="00AE28C6" w:rsidRDefault="009342E4" w:rsidP="00AE28C6">
            <w:pPr>
              <w:spacing w:line="360" w:lineRule="auto"/>
              <w:jc w:val="center"/>
              <w:rPr>
                <w:rFonts w:ascii="Times New Roman" w:eastAsia="Times New Roman" w:hAnsi="Times New Roman" w:cs="Times New Roman"/>
                <w:sz w:val="20"/>
                <w:szCs w:val="20"/>
                <w:lang w:eastAsia="ru-RU"/>
              </w:rPr>
            </w:pPr>
            <w:r w:rsidRPr="00AE28C6">
              <w:rPr>
                <w:rFonts w:ascii="Times New Roman" w:eastAsia="Times New Roman" w:hAnsi="Times New Roman" w:cs="Times New Roman"/>
                <w:sz w:val="20"/>
                <w:szCs w:val="20"/>
                <w:lang w:eastAsia="ru-RU"/>
              </w:rPr>
              <w:t>2005</w:t>
            </w:r>
          </w:p>
        </w:tc>
      </w:tr>
      <w:tr w:rsidR="009342E4" w:rsidRPr="00AE28C6" w:rsidTr="0047701A">
        <w:tc>
          <w:tcPr>
            <w:tcW w:w="558" w:type="dxa"/>
            <w:tcBorders>
              <w:bottom w:val="single" w:sz="4" w:space="0" w:color="auto"/>
            </w:tcBorders>
          </w:tcPr>
          <w:p w:rsidR="009342E4" w:rsidRPr="00AE28C6" w:rsidRDefault="009342E4" w:rsidP="00AE28C6">
            <w:pPr>
              <w:spacing w:line="360" w:lineRule="auto"/>
              <w:jc w:val="center"/>
              <w:rPr>
                <w:rFonts w:ascii="Times New Roman" w:hAnsi="Times New Roman" w:cs="Times New Roman"/>
                <w:sz w:val="20"/>
                <w:szCs w:val="20"/>
              </w:rPr>
            </w:pPr>
            <w:r w:rsidRPr="00AE28C6">
              <w:rPr>
                <w:rFonts w:ascii="Times New Roman" w:hAnsi="Times New Roman" w:cs="Times New Roman"/>
                <w:sz w:val="20"/>
                <w:szCs w:val="20"/>
              </w:rPr>
              <w:t>16</w:t>
            </w:r>
          </w:p>
        </w:tc>
        <w:tc>
          <w:tcPr>
            <w:tcW w:w="5580" w:type="dxa"/>
            <w:tcBorders>
              <w:bottom w:val="single" w:sz="4" w:space="0" w:color="auto"/>
            </w:tcBorders>
            <w:vAlign w:val="center"/>
          </w:tcPr>
          <w:p w:rsidR="009342E4" w:rsidRPr="00AE28C6" w:rsidRDefault="007F7C4D" w:rsidP="00AE28C6">
            <w:pPr>
              <w:spacing w:line="360" w:lineRule="auto"/>
              <w:rPr>
                <w:rFonts w:ascii="Times New Roman" w:eastAsia="Times New Roman" w:hAnsi="Times New Roman" w:cs="Times New Roman"/>
                <w:sz w:val="20"/>
                <w:szCs w:val="20"/>
                <w:lang w:val="ru-RU" w:eastAsia="ru-RU"/>
              </w:rPr>
            </w:pPr>
            <w:hyperlink r:id="rId24" w:history="1">
              <w:r w:rsidR="009342E4" w:rsidRPr="00AE28C6">
                <w:rPr>
                  <w:rFonts w:ascii="Times New Roman" w:eastAsia="Times New Roman" w:hAnsi="Times New Roman" w:cs="Times New Roman"/>
                  <w:sz w:val="20"/>
                  <w:szCs w:val="20"/>
                  <w:lang w:val="ru-RU" w:eastAsia="ru-RU"/>
                </w:rPr>
                <w:t>Standard Chartered Saadiq Berhad</w:t>
              </w:r>
            </w:hyperlink>
          </w:p>
        </w:tc>
        <w:tc>
          <w:tcPr>
            <w:tcW w:w="1800" w:type="dxa"/>
            <w:tcBorders>
              <w:bottom w:val="single" w:sz="4" w:space="0" w:color="auto"/>
            </w:tcBorders>
            <w:vAlign w:val="center"/>
          </w:tcPr>
          <w:p w:rsidR="009342E4" w:rsidRPr="00AE28C6" w:rsidRDefault="009342E4" w:rsidP="00AE28C6">
            <w:pPr>
              <w:spacing w:line="360" w:lineRule="auto"/>
              <w:jc w:val="center"/>
              <w:rPr>
                <w:rFonts w:ascii="Times New Roman" w:eastAsia="Times New Roman" w:hAnsi="Times New Roman" w:cs="Times New Roman"/>
                <w:sz w:val="20"/>
                <w:szCs w:val="20"/>
                <w:lang w:eastAsia="ru-RU"/>
              </w:rPr>
            </w:pPr>
            <w:r w:rsidRPr="00AE28C6">
              <w:rPr>
                <w:rFonts w:ascii="Times New Roman" w:eastAsia="Times New Roman" w:hAnsi="Times New Roman" w:cs="Times New Roman"/>
                <w:sz w:val="20"/>
                <w:szCs w:val="20"/>
                <w:lang w:eastAsia="ru-RU"/>
              </w:rPr>
              <w:t>4</w:t>
            </w:r>
          </w:p>
        </w:tc>
        <w:tc>
          <w:tcPr>
            <w:tcW w:w="1638" w:type="dxa"/>
            <w:tcBorders>
              <w:bottom w:val="single" w:sz="4" w:space="0" w:color="auto"/>
            </w:tcBorders>
            <w:vAlign w:val="center"/>
          </w:tcPr>
          <w:p w:rsidR="009342E4" w:rsidRPr="00AE28C6" w:rsidRDefault="009342E4" w:rsidP="00AE28C6">
            <w:pPr>
              <w:spacing w:line="360" w:lineRule="auto"/>
              <w:jc w:val="center"/>
              <w:rPr>
                <w:rFonts w:ascii="Times New Roman" w:eastAsia="Times New Roman" w:hAnsi="Times New Roman" w:cs="Times New Roman"/>
                <w:sz w:val="20"/>
                <w:szCs w:val="20"/>
                <w:lang w:eastAsia="ru-RU"/>
              </w:rPr>
            </w:pPr>
            <w:r w:rsidRPr="00AE28C6">
              <w:rPr>
                <w:rFonts w:ascii="Times New Roman" w:eastAsia="Times New Roman" w:hAnsi="Times New Roman" w:cs="Times New Roman"/>
                <w:sz w:val="20"/>
                <w:szCs w:val="20"/>
                <w:lang w:eastAsia="ru-RU"/>
              </w:rPr>
              <w:t>2008</w:t>
            </w:r>
          </w:p>
        </w:tc>
      </w:tr>
    </w:tbl>
    <w:p w:rsidR="0078797A" w:rsidRDefault="0078797A" w:rsidP="005A57B8">
      <w:pPr>
        <w:spacing w:line="480" w:lineRule="auto"/>
        <w:rPr>
          <w:rStyle w:val="apple-style-span"/>
          <w:rFonts w:ascii="Times New Roman" w:hAnsi="Times New Roman" w:cs="Times New Roman"/>
          <w:b/>
          <w:sz w:val="24"/>
          <w:szCs w:val="24"/>
          <w:shd w:val="clear" w:color="auto" w:fill="FFFFFF"/>
        </w:rPr>
      </w:pPr>
    </w:p>
    <w:p w:rsidR="0078797A" w:rsidRPr="001D4AB4" w:rsidRDefault="00851403" w:rsidP="001D4AB4">
      <w:pPr>
        <w:pStyle w:val="Heading2"/>
        <w:spacing w:line="480" w:lineRule="auto"/>
        <w:rPr>
          <w:rFonts w:ascii="Times New Roman" w:hAnsi="Times New Roman" w:cs="Times New Roman"/>
          <w:color w:val="auto"/>
          <w:sz w:val="24"/>
        </w:rPr>
      </w:pPr>
      <w:bookmarkStart w:id="17" w:name="_Toc346718436"/>
      <w:r w:rsidRPr="001D4AB4">
        <w:rPr>
          <w:rFonts w:ascii="Times New Roman" w:hAnsi="Times New Roman" w:cs="Times New Roman"/>
          <w:color w:val="auto"/>
          <w:sz w:val="24"/>
        </w:rPr>
        <w:t>3.2. Measures</w:t>
      </w:r>
      <w:bookmarkEnd w:id="17"/>
    </w:p>
    <w:p w:rsidR="000D6980" w:rsidRPr="004B502E" w:rsidRDefault="00851403" w:rsidP="009E4649">
      <w:pPr>
        <w:spacing w:line="480" w:lineRule="auto"/>
        <w:ind w:firstLine="720"/>
        <w:rPr>
          <w:rFonts w:ascii="Times New Roman" w:hAnsi="Times New Roman" w:cs="Times New Roman"/>
          <w:b/>
          <w:sz w:val="24"/>
          <w:szCs w:val="24"/>
        </w:rPr>
      </w:pPr>
      <w:bookmarkStart w:id="18" w:name="_Toc346718437"/>
      <w:r w:rsidRPr="009E4649">
        <w:rPr>
          <w:rStyle w:val="Heading3Char"/>
          <w:rFonts w:ascii="Times New Roman" w:hAnsi="Times New Roman" w:cs="Times New Roman"/>
          <w:color w:val="auto"/>
          <w:sz w:val="24"/>
          <w:szCs w:val="24"/>
        </w:rPr>
        <w:t>3.2.1. Dependent variable.</w:t>
      </w:r>
      <w:bookmarkEnd w:id="18"/>
      <w:r w:rsidR="009E4649">
        <w:rPr>
          <w:rStyle w:val="apple-style-span"/>
          <w:rFonts w:ascii="Times New Roman" w:hAnsi="Times New Roman" w:cs="Times New Roman"/>
          <w:sz w:val="24"/>
          <w:szCs w:val="24"/>
          <w:shd w:val="clear" w:color="auto" w:fill="FFFFFF"/>
        </w:rPr>
        <w:t xml:space="preserve"> </w:t>
      </w:r>
      <w:r w:rsidR="00BF2E46">
        <w:rPr>
          <w:rFonts w:ascii="Times New Roman" w:hAnsi="Times New Roman" w:cs="Times New Roman"/>
          <w:sz w:val="24"/>
          <w:szCs w:val="24"/>
        </w:rPr>
        <w:t>W</w:t>
      </w:r>
      <w:r w:rsidR="000D6980">
        <w:rPr>
          <w:rFonts w:ascii="Times New Roman" w:hAnsi="Times New Roman" w:cs="Times New Roman"/>
          <w:sz w:val="24"/>
          <w:szCs w:val="24"/>
        </w:rPr>
        <w:t xml:space="preserve">e will use </w:t>
      </w:r>
      <w:r w:rsidR="007D291E">
        <w:rPr>
          <w:rFonts w:ascii="Times New Roman" w:hAnsi="Times New Roman" w:cs="Times New Roman"/>
          <w:sz w:val="24"/>
          <w:szCs w:val="24"/>
        </w:rPr>
        <w:t xml:space="preserve">the profitability ratio of ROA (return on assets) </w:t>
      </w:r>
      <w:r w:rsidR="00BF2E46">
        <w:rPr>
          <w:rFonts w:ascii="Times New Roman" w:hAnsi="Times New Roman" w:cs="Times New Roman"/>
          <w:sz w:val="24"/>
          <w:szCs w:val="24"/>
        </w:rPr>
        <w:t xml:space="preserve">as the performance measure, </w:t>
      </w:r>
      <w:r w:rsidR="007D291E">
        <w:rPr>
          <w:rFonts w:ascii="Times New Roman" w:hAnsi="Times New Roman" w:cs="Times New Roman"/>
          <w:sz w:val="24"/>
          <w:szCs w:val="24"/>
        </w:rPr>
        <w:t xml:space="preserve">which is considered to be </w:t>
      </w:r>
      <w:r w:rsidR="005E3F92">
        <w:rPr>
          <w:rFonts w:ascii="Times New Roman" w:hAnsi="Times New Roman" w:cs="Times New Roman"/>
          <w:sz w:val="24"/>
          <w:szCs w:val="24"/>
        </w:rPr>
        <w:t>one</w:t>
      </w:r>
      <w:r w:rsidR="000D6980">
        <w:rPr>
          <w:rFonts w:ascii="Times New Roman" w:hAnsi="Times New Roman" w:cs="Times New Roman"/>
          <w:sz w:val="24"/>
          <w:szCs w:val="24"/>
        </w:rPr>
        <w:t xml:space="preserve"> </w:t>
      </w:r>
      <w:r w:rsidR="005E3F92">
        <w:rPr>
          <w:rFonts w:ascii="Times New Roman" w:hAnsi="Times New Roman" w:cs="Times New Roman"/>
          <w:sz w:val="24"/>
          <w:szCs w:val="24"/>
        </w:rPr>
        <w:t xml:space="preserve">of </w:t>
      </w:r>
      <w:r w:rsidR="000D6980">
        <w:rPr>
          <w:rFonts w:ascii="Times New Roman" w:hAnsi="Times New Roman" w:cs="Times New Roman"/>
          <w:sz w:val="24"/>
          <w:szCs w:val="24"/>
        </w:rPr>
        <w:t xml:space="preserve">the best performance indicators </w:t>
      </w:r>
      <w:r w:rsidR="000D6980" w:rsidRPr="004B502E">
        <w:rPr>
          <w:rFonts w:ascii="Times New Roman" w:hAnsi="Times New Roman" w:cs="Times New Roman"/>
          <w:sz w:val="24"/>
          <w:szCs w:val="24"/>
        </w:rPr>
        <w:t xml:space="preserve">(Zeitun, 2012). The ROA (net income/total assets) represents the profit gained for each asset dollar and shows how efficiently </w:t>
      </w:r>
      <w:r w:rsidR="006651D5">
        <w:rPr>
          <w:rFonts w:ascii="Times New Roman" w:hAnsi="Times New Roman" w:cs="Times New Roman"/>
          <w:sz w:val="24"/>
          <w:szCs w:val="24"/>
        </w:rPr>
        <w:t xml:space="preserve">the </w:t>
      </w:r>
      <w:r w:rsidR="000D6980" w:rsidRPr="004B502E">
        <w:rPr>
          <w:rFonts w:ascii="Times New Roman" w:hAnsi="Times New Roman" w:cs="Times New Roman"/>
          <w:sz w:val="24"/>
          <w:szCs w:val="24"/>
        </w:rPr>
        <w:t xml:space="preserve">financial resources </w:t>
      </w:r>
      <w:r w:rsidR="006651D5">
        <w:rPr>
          <w:rFonts w:ascii="Times New Roman" w:hAnsi="Times New Roman" w:cs="Times New Roman"/>
          <w:sz w:val="24"/>
          <w:szCs w:val="24"/>
        </w:rPr>
        <w:t xml:space="preserve">of bank </w:t>
      </w:r>
      <w:r w:rsidR="000D6980" w:rsidRPr="004B502E">
        <w:rPr>
          <w:rFonts w:ascii="Times New Roman" w:hAnsi="Times New Roman" w:cs="Times New Roman"/>
          <w:sz w:val="24"/>
          <w:szCs w:val="24"/>
        </w:rPr>
        <w:t xml:space="preserve">are being utilized (Bashir, 2003). </w:t>
      </w:r>
      <w:r w:rsidR="005E3F92">
        <w:rPr>
          <w:rFonts w:ascii="Times New Roman" w:hAnsi="Times New Roman" w:cs="Times New Roman"/>
          <w:sz w:val="24"/>
          <w:szCs w:val="24"/>
        </w:rPr>
        <w:t xml:space="preserve">This ratio has been widely </w:t>
      </w:r>
      <w:r w:rsidR="00BF2E46">
        <w:rPr>
          <w:rFonts w:ascii="Times New Roman" w:hAnsi="Times New Roman" w:cs="Times New Roman"/>
          <w:sz w:val="24"/>
          <w:szCs w:val="24"/>
        </w:rPr>
        <w:t xml:space="preserve">used </w:t>
      </w:r>
      <w:r w:rsidR="005E3F92">
        <w:rPr>
          <w:rFonts w:ascii="Times New Roman" w:hAnsi="Times New Roman" w:cs="Times New Roman"/>
          <w:sz w:val="24"/>
          <w:szCs w:val="24"/>
        </w:rPr>
        <w:t xml:space="preserve">in </w:t>
      </w:r>
      <w:r w:rsidR="00BF2E46">
        <w:rPr>
          <w:rFonts w:ascii="Times New Roman" w:hAnsi="Times New Roman" w:cs="Times New Roman"/>
          <w:sz w:val="24"/>
          <w:szCs w:val="24"/>
        </w:rPr>
        <w:t>other</w:t>
      </w:r>
      <w:r w:rsidR="005E3F92">
        <w:rPr>
          <w:rFonts w:ascii="Times New Roman" w:hAnsi="Times New Roman" w:cs="Times New Roman"/>
          <w:sz w:val="24"/>
          <w:szCs w:val="24"/>
        </w:rPr>
        <w:t xml:space="preserve"> profitability studies about </w:t>
      </w:r>
      <w:r w:rsidR="00852351">
        <w:rPr>
          <w:rFonts w:ascii="Times New Roman" w:hAnsi="Times New Roman" w:cs="Times New Roman"/>
          <w:sz w:val="24"/>
          <w:szCs w:val="24"/>
        </w:rPr>
        <w:t>Islamic banks</w:t>
      </w:r>
      <w:r w:rsidR="005E3F92">
        <w:rPr>
          <w:rFonts w:ascii="Times New Roman" w:hAnsi="Times New Roman" w:cs="Times New Roman"/>
          <w:sz w:val="24"/>
          <w:szCs w:val="24"/>
        </w:rPr>
        <w:t xml:space="preserve"> (e.g. Bashir, 2003; Bintawim, 2011; Hassan &amp; Bahsir, 2003; Kok et al., 2012; Zeitun, 2012). </w:t>
      </w:r>
      <w:r w:rsidR="000D6980" w:rsidRPr="004B502E">
        <w:rPr>
          <w:rFonts w:ascii="Times New Roman" w:hAnsi="Times New Roman" w:cs="Times New Roman"/>
          <w:sz w:val="24"/>
          <w:szCs w:val="24"/>
        </w:rPr>
        <w:t xml:space="preserve"> </w:t>
      </w:r>
    </w:p>
    <w:p w:rsidR="00C60F43" w:rsidRDefault="005E3F92" w:rsidP="005A57B8">
      <w:pPr>
        <w:spacing w:line="480" w:lineRule="auto"/>
        <w:ind w:firstLine="720"/>
        <w:rPr>
          <w:rStyle w:val="apple-style-span"/>
          <w:rFonts w:ascii="Times New Roman" w:hAnsi="Times New Roman" w:cs="Times New Roman"/>
          <w:sz w:val="24"/>
          <w:szCs w:val="24"/>
          <w:shd w:val="clear" w:color="auto" w:fill="FFFFFF"/>
        </w:rPr>
      </w:pPr>
      <w:bookmarkStart w:id="19" w:name="_Toc346718438"/>
      <w:r w:rsidRPr="00C60F43">
        <w:rPr>
          <w:rStyle w:val="Heading3Char"/>
          <w:rFonts w:ascii="Times New Roman" w:hAnsi="Times New Roman" w:cs="Times New Roman"/>
          <w:color w:val="auto"/>
          <w:sz w:val="24"/>
          <w:szCs w:val="24"/>
        </w:rPr>
        <w:t>3.2.2. Independent variables.</w:t>
      </w:r>
      <w:bookmarkEnd w:id="19"/>
      <w:r w:rsidR="002F1F96">
        <w:rPr>
          <w:rStyle w:val="apple-style-span"/>
          <w:rFonts w:ascii="Times New Roman" w:hAnsi="Times New Roman" w:cs="Times New Roman"/>
          <w:sz w:val="24"/>
          <w:szCs w:val="24"/>
          <w:shd w:val="clear" w:color="auto" w:fill="FFFFFF"/>
        </w:rPr>
        <w:t xml:space="preserve"> </w:t>
      </w:r>
      <w:r w:rsidR="00C60F43">
        <w:rPr>
          <w:rStyle w:val="apple-style-span"/>
          <w:rFonts w:ascii="Times New Roman" w:hAnsi="Times New Roman" w:cs="Times New Roman"/>
          <w:sz w:val="24"/>
          <w:szCs w:val="24"/>
          <w:shd w:val="clear" w:color="auto" w:fill="FFFFFF"/>
        </w:rPr>
        <w:t xml:space="preserve">Two set of independent variables, namely internal factors (capital ratio, liquidity ratio, efficiency ratio, bank ownership, and bank size) and external factors (GDP, inflation rate, money supply, taxation indicator variable), will be used in this analysis. </w:t>
      </w:r>
    </w:p>
    <w:p w:rsidR="008D77CC" w:rsidRPr="004B502E" w:rsidRDefault="0092335E" w:rsidP="005A57B8">
      <w:pPr>
        <w:spacing w:line="480" w:lineRule="auto"/>
        <w:ind w:firstLine="720"/>
        <w:rPr>
          <w:rFonts w:ascii="Times New Roman" w:hAnsi="Times New Roman" w:cs="Times New Roman"/>
          <w:sz w:val="24"/>
          <w:szCs w:val="24"/>
        </w:rPr>
      </w:pPr>
      <w:r w:rsidRPr="004B502E">
        <w:rPr>
          <w:rFonts w:ascii="Times New Roman" w:hAnsi="Times New Roman" w:cs="Times New Roman"/>
          <w:sz w:val="24"/>
          <w:szCs w:val="24"/>
        </w:rPr>
        <w:t xml:space="preserve">Internal factors, or </w:t>
      </w:r>
      <w:r w:rsidR="00BF2E46" w:rsidRPr="004B502E">
        <w:rPr>
          <w:rFonts w:ascii="Times New Roman" w:hAnsi="Times New Roman" w:cs="Times New Roman"/>
          <w:sz w:val="24"/>
          <w:szCs w:val="24"/>
        </w:rPr>
        <w:t>bank</w:t>
      </w:r>
      <w:r w:rsidR="00BF2E46">
        <w:rPr>
          <w:rFonts w:ascii="Times New Roman" w:hAnsi="Times New Roman" w:cs="Times New Roman"/>
          <w:sz w:val="24"/>
          <w:szCs w:val="24"/>
        </w:rPr>
        <w:t>-</w:t>
      </w:r>
      <w:r w:rsidRPr="004B502E">
        <w:rPr>
          <w:rFonts w:ascii="Times New Roman" w:hAnsi="Times New Roman" w:cs="Times New Roman"/>
          <w:sz w:val="24"/>
          <w:szCs w:val="24"/>
        </w:rPr>
        <w:t>specific factors</w:t>
      </w:r>
      <w:r w:rsidR="00675B4F">
        <w:rPr>
          <w:rFonts w:ascii="Times New Roman" w:hAnsi="Times New Roman" w:cs="Times New Roman"/>
          <w:sz w:val="24"/>
          <w:szCs w:val="24"/>
        </w:rPr>
        <w:t>, comprise the set of variables</w:t>
      </w:r>
      <w:r w:rsidR="00735FAD" w:rsidRPr="004B502E">
        <w:rPr>
          <w:rFonts w:ascii="Times New Roman" w:hAnsi="Times New Roman" w:cs="Times New Roman"/>
          <w:sz w:val="24"/>
          <w:szCs w:val="24"/>
        </w:rPr>
        <w:t xml:space="preserve"> that are under the control of bank management (Bourke, 1989). </w:t>
      </w:r>
      <w:r w:rsidR="00675B4F">
        <w:rPr>
          <w:rFonts w:ascii="Times New Roman" w:hAnsi="Times New Roman" w:cs="Times New Roman"/>
          <w:sz w:val="24"/>
          <w:szCs w:val="24"/>
        </w:rPr>
        <w:t>Internal factors</w:t>
      </w:r>
      <w:r w:rsidR="00676216" w:rsidRPr="004B502E">
        <w:rPr>
          <w:rFonts w:ascii="Times New Roman" w:hAnsi="Times New Roman" w:cs="Times New Roman"/>
          <w:sz w:val="24"/>
          <w:szCs w:val="24"/>
        </w:rPr>
        <w:t xml:space="preserve"> that </w:t>
      </w:r>
      <w:r w:rsidR="006A7444" w:rsidRPr="004B502E">
        <w:rPr>
          <w:rFonts w:ascii="Times New Roman" w:hAnsi="Times New Roman" w:cs="Times New Roman"/>
          <w:sz w:val="24"/>
          <w:szCs w:val="24"/>
        </w:rPr>
        <w:t xml:space="preserve">will </w:t>
      </w:r>
      <w:r w:rsidR="00676216" w:rsidRPr="004B502E">
        <w:rPr>
          <w:rFonts w:ascii="Times New Roman" w:hAnsi="Times New Roman" w:cs="Times New Roman"/>
          <w:sz w:val="24"/>
          <w:szCs w:val="24"/>
        </w:rPr>
        <w:t>be included in the study are presented below:</w:t>
      </w:r>
    </w:p>
    <w:p w:rsidR="00F73798" w:rsidRPr="004B502E" w:rsidRDefault="0052492C" w:rsidP="00E62CE5">
      <w:pPr>
        <w:spacing w:line="480" w:lineRule="auto"/>
        <w:ind w:firstLine="720"/>
        <w:rPr>
          <w:rFonts w:ascii="Times New Roman" w:hAnsi="Times New Roman" w:cs="Times New Roman"/>
          <w:sz w:val="24"/>
          <w:szCs w:val="24"/>
        </w:rPr>
      </w:pPr>
      <w:r w:rsidRPr="004B502E">
        <w:rPr>
          <w:rFonts w:ascii="Times New Roman" w:hAnsi="Times New Roman" w:cs="Times New Roman"/>
          <w:b/>
          <w:sz w:val="24"/>
          <w:szCs w:val="24"/>
        </w:rPr>
        <w:t>Capital ratios</w:t>
      </w:r>
      <w:r w:rsidRPr="004B502E">
        <w:rPr>
          <w:rFonts w:ascii="Times New Roman" w:hAnsi="Times New Roman" w:cs="Times New Roman"/>
          <w:sz w:val="24"/>
          <w:szCs w:val="24"/>
        </w:rPr>
        <w:t xml:space="preserve"> </w:t>
      </w:r>
      <w:r w:rsidR="0092335E" w:rsidRPr="004B502E">
        <w:rPr>
          <w:rFonts w:ascii="Times New Roman" w:hAnsi="Times New Roman" w:cs="Times New Roman"/>
          <w:sz w:val="24"/>
          <w:szCs w:val="24"/>
        </w:rPr>
        <w:t>have</w:t>
      </w:r>
      <w:r w:rsidR="00987472" w:rsidRPr="004B502E">
        <w:rPr>
          <w:rFonts w:ascii="Times New Roman" w:hAnsi="Times New Roman" w:cs="Times New Roman"/>
          <w:sz w:val="24"/>
          <w:szCs w:val="24"/>
        </w:rPr>
        <w:t xml:space="preserve"> </w:t>
      </w:r>
      <w:r w:rsidR="005101F2" w:rsidRPr="004B502E">
        <w:rPr>
          <w:rFonts w:ascii="Times New Roman" w:hAnsi="Times New Roman" w:cs="Times New Roman"/>
          <w:sz w:val="24"/>
          <w:szCs w:val="24"/>
        </w:rPr>
        <w:t>been widely</w:t>
      </w:r>
      <w:r w:rsidR="00987472" w:rsidRPr="004B502E">
        <w:rPr>
          <w:rFonts w:ascii="Times New Roman" w:hAnsi="Times New Roman" w:cs="Times New Roman"/>
          <w:sz w:val="24"/>
          <w:szCs w:val="24"/>
        </w:rPr>
        <w:t xml:space="preserve"> implement</w:t>
      </w:r>
      <w:r w:rsidR="005101F2" w:rsidRPr="004B502E">
        <w:rPr>
          <w:rFonts w:ascii="Times New Roman" w:hAnsi="Times New Roman" w:cs="Times New Roman"/>
          <w:sz w:val="24"/>
          <w:szCs w:val="24"/>
        </w:rPr>
        <w:t>ed</w:t>
      </w:r>
      <w:r w:rsidR="00987472" w:rsidRPr="004B502E">
        <w:rPr>
          <w:rFonts w:ascii="Times New Roman" w:hAnsi="Times New Roman" w:cs="Times New Roman"/>
          <w:sz w:val="24"/>
          <w:szCs w:val="24"/>
        </w:rPr>
        <w:t xml:space="preserve"> in profitability studies </w:t>
      </w:r>
      <w:r w:rsidR="00570AA2" w:rsidRPr="004B502E">
        <w:rPr>
          <w:rFonts w:ascii="Times New Roman" w:hAnsi="Times New Roman" w:cs="Times New Roman"/>
          <w:sz w:val="24"/>
          <w:szCs w:val="24"/>
        </w:rPr>
        <w:t xml:space="preserve">conducted on </w:t>
      </w:r>
      <w:r w:rsidR="00852351">
        <w:rPr>
          <w:rFonts w:ascii="Times New Roman" w:hAnsi="Times New Roman" w:cs="Times New Roman"/>
          <w:sz w:val="24"/>
          <w:szCs w:val="24"/>
        </w:rPr>
        <w:t>Islamic banks</w:t>
      </w:r>
      <w:r w:rsidR="00570AA2" w:rsidRPr="004B502E">
        <w:rPr>
          <w:rFonts w:ascii="Times New Roman" w:hAnsi="Times New Roman" w:cs="Times New Roman"/>
          <w:sz w:val="24"/>
          <w:szCs w:val="24"/>
        </w:rPr>
        <w:t xml:space="preserve"> </w:t>
      </w:r>
      <w:r w:rsidR="00987472" w:rsidRPr="004B502E">
        <w:rPr>
          <w:rFonts w:ascii="Times New Roman" w:hAnsi="Times New Roman" w:cs="Times New Roman"/>
          <w:sz w:val="24"/>
          <w:szCs w:val="24"/>
        </w:rPr>
        <w:t>(</w:t>
      </w:r>
      <w:r w:rsidR="00075149" w:rsidRPr="004B502E">
        <w:rPr>
          <w:rFonts w:ascii="Times New Roman" w:hAnsi="Times New Roman" w:cs="Times New Roman"/>
          <w:sz w:val="24"/>
          <w:szCs w:val="24"/>
        </w:rPr>
        <w:t>Akhtar</w:t>
      </w:r>
      <w:r w:rsidR="00BF2E46">
        <w:rPr>
          <w:rFonts w:ascii="Times New Roman" w:hAnsi="Times New Roman" w:cs="Times New Roman"/>
          <w:sz w:val="24"/>
          <w:szCs w:val="24"/>
        </w:rPr>
        <w:t>, Ali, &amp; Sadaqat</w:t>
      </w:r>
      <w:r w:rsidR="00075149" w:rsidRPr="004B502E">
        <w:rPr>
          <w:rFonts w:ascii="Times New Roman" w:hAnsi="Times New Roman" w:cs="Times New Roman"/>
          <w:sz w:val="24"/>
          <w:szCs w:val="24"/>
        </w:rPr>
        <w:t xml:space="preserve">, 2011; Alkassim, 2005; </w:t>
      </w:r>
      <w:r w:rsidR="00BF2E46" w:rsidRPr="004B502E">
        <w:rPr>
          <w:rFonts w:ascii="Times New Roman" w:hAnsi="Times New Roman" w:cs="Times New Roman"/>
          <w:sz w:val="24"/>
          <w:szCs w:val="24"/>
        </w:rPr>
        <w:t>Ba</w:t>
      </w:r>
      <w:r w:rsidR="00BF2E46">
        <w:rPr>
          <w:rFonts w:ascii="Times New Roman" w:hAnsi="Times New Roman" w:cs="Times New Roman"/>
          <w:sz w:val="24"/>
          <w:szCs w:val="24"/>
        </w:rPr>
        <w:t>sh</w:t>
      </w:r>
      <w:r w:rsidR="00BF2E46" w:rsidRPr="004B502E">
        <w:rPr>
          <w:rFonts w:ascii="Times New Roman" w:hAnsi="Times New Roman" w:cs="Times New Roman"/>
          <w:sz w:val="24"/>
          <w:szCs w:val="24"/>
        </w:rPr>
        <w:t>ir</w:t>
      </w:r>
      <w:r w:rsidR="00987472" w:rsidRPr="004B502E">
        <w:rPr>
          <w:rFonts w:ascii="Times New Roman" w:hAnsi="Times New Roman" w:cs="Times New Roman"/>
          <w:sz w:val="24"/>
          <w:szCs w:val="24"/>
        </w:rPr>
        <w:t xml:space="preserve">, 2003; </w:t>
      </w:r>
      <w:r w:rsidR="00951213" w:rsidRPr="004B502E">
        <w:rPr>
          <w:rFonts w:ascii="Times New Roman" w:hAnsi="Times New Roman" w:cs="Times New Roman"/>
          <w:sz w:val="24"/>
          <w:szCs w:val="24"/>
        </w:rPr>
        <w:t>Hassan &amp; Bashir, 2003</w:t>
      </w:r>
      <w:r w:rsidR="00987472" w:rsidRPr="004B502E">
        <w:rPr>
          <w:rFonts w:ascii="Times New Roman" w:hAnsi="Times New Roman" w:cs="Times New Roman"/>
          <w:sz w:val="24"/>
          <w:szCs w:val="24"/>
        </w:rPr>
        <w:t xml:space="preserve">; </w:t>
      </w:r>
      <w:r w:rsidR="00075149" w:rsidRPr="004B502E">
        <w:rPr>
          <w:rFonts w:ascii="Times New Roman" w:hAnsi="Times New Roman" w:cs="Times New Roman"/>
          <w:sz w:val="24"/>
          <w:szCs w:val="24"/>
        </w:rPr>
        <w:t xml:space="preserve">Idris et al., 2011; </w:t>
      </w:r>
      <w:r w:rsidR="005D1FBF" w:rsidRPr="004B502E">
        <w:rPr>
          <w:rFonts w:ascii="Times New Roman" w:hAnsi="Times New Roman" w:cs="Times New Roman"/>
          <w:sz w:val="24"/>
          <w:szCs w:val="24"/>
        </w:rPr>
        <w:t xml:space="preserve">Kok </w:t>
      </w:r>
      <w:r w:rsidR="00422714" w:rsidRPr="004B502E">
        <w:rPr>
          <w:rFonts w:ascii="Times New Roman" w:hAnsi="Times New Roman" w:cs="Times New Roman"/>
          <w:sz w:val="24"/>
          <w:szCs w:val="24"/>
        </w:rPr>
        <w:t xml:space="preserve">et al., 2012; </w:t>
      </w:r>
      <w:r w:rsidR="00951213" w:rsidRPr="004B502E">
        <w:rPr>
          <w:rFonts w:ascii="Times New Roman" w:hAnsi="Times New Roman" w:cs="Times New Roman"/>
          <w:sz w:val="24"/>
          <w:szCs w:val="24"/>
        </w:rPr>
        <w:t>Smaoui &amp; Salah, 2012</w:t>
      </w:r>
      <w:r w:rsidR="005D1FBF" w:rsidRPr="004B502E">
        <w:rPr>
          <w:rFonts w:ascii="Times New Roman" w:hAnsi="Times New Roman" w:cs="Times New Roman"/>
          <w:sz w:val="24"/>
          <w:szCs w:val="24"/>
        </w:rPr>
        <w:t>)</w:t>
      </w:r>
      <w:r w:rsidR="00570AA2" w:rsidRPr="004B502E">
        <w:rPr>
          <w:rFonts w:ascii="Times New Roman" w:hAnsi="Times New Roman" w:cs="Times New Roman"/>
          <w:sz w:val="24"/>
          <w:szCs w:val="24"/>
        </w:rPr>
        <w:t xml:space="preserve">. </w:t>
      </w:r>
      <w:r w:rsidR="0092335E" w:rsidRPr="004B502E">
        <w:rPr>
          <w:rFonts w:ascii="Times New Roman" w:hAnsi="Times New Roman" w:cs="Times New Roman"/>
          <w:sz w:val="24"/>
          <w:szCs w:val="24"/>
        </w:rPr>
        <w:t xml:space="preserve">They have </w:t>
      </w:r>
      <w:r w:rsidR="00BF2E46">
        <w:rPr>
          <w:rFonts w:ascii="Times New Roman" w:hAnsi="Times New Roman" w:cs="Times New Roman"/>
          <w:sz w:val="24"/>
          <w:szCs w:val="24"/>
        </w:rPr>
        <w:t>indicated</w:t>
      </w:r>
      <w:r w:rsidR="0092335E" w:rsidRPr="004B502E">
        <w:rPr>
          <w:rFonts w:ascii="Times New Roman" w:hAnsi="Times New Roman" w:cs="Times New Roman"/>
          <w:sz w:val="24"/>
          <w:szCs w:val="24"/>
        </w:rPr>
        <w:t xml:space="preserve"> the impact of capital efficiency on the profitability of </w:t>
      </w:r>
      <w:r w:rsidR="00852351">
        <w:rPr>
          <w:rFonts w:ascii="Times New Roman" w:hAnsi="Times New Roman" w:cs="Times New Roman"/>
          <w:sz w:val="24"/>
          <w:szCs w:val="24"/>
        </w:rPr>
        <w:t>Islamic banks</w:t>
      </w:r>
      <w:r w:rsidR="0092335E" w:rsidRPr="004B502E">
        <w:rPr>
          <w:rFonts w:ascii="Times New Roman" w:hAnsi="Times New Roman" w:cs="Times New Roman"/>
          <w:sz w:val="24"/>
          <w:szCs w:val="24"/>
        </w:rPr>
        <w:t>. As a capital ratio, we will us</w:t>
      </w:r>
      <w:r w:rsidR="00BF2E46">
        <w:rPr>
          <w:rFonts w:ascii="Times New Roman" w:hAnsi="Times New Roman" w:cs="Times New Roman"/>
          <w:sz w:val="24"/>
          <w:szCs w:val="24"/>
        </w:rPr>
        <w:t>e</w:t>
      </w:r>
      <w:r w:rsidR="0092335E" w:rsidRPr="004B502E">
        <w:rPr>
          <w:rFonts w:ascii="Times New Roman" w:hAnsi="Times New Roman" w:cs="Times New Roman"/>
          <w:sz w:val="24"/>
          <w:szCs w:val="24"/>
        </w:rPr>
        <w:t xml:space="preserve"> the ratio of total shareholder equities to total assets </w:t>
      </w:r>
      <w:r w:rsidR="009C6737" w:rsidRPr="004B502E">
        <w:rPr>
          <w:rFonts w:ascii="Times New Roman" w:hAnsi="Times New Roman" w:cs="Times New Roman"/>
          <w:sz w:val="24"/>
          <w:szCs w:val="24"/>
        </w:rPr>
        <w:t>(total equity/total a</w:t>
      </w:r>
      <w:r w:rsidR="0059269A" w:rsidRPr="004B502E">
        <w:rPr>
          <w:rFonts w:ascii="Times New Roman" w:hAnsi="Times New Roman" w:cs="Times New Roman"/>
          <w:sz w:val="24"/>
          <w:szCs w:val="24"/>
        </w:rPr>
        <w:t xml:space="preserve">ssets) </w:t>
      </w:r>
      <w:r w:rsidR="00BF2E46">
        <w:rPr>
          <w:rFonts w:ascii="Times New Roman" w:hAnsi="Times New Roman" w:cs="Times New Roman"/>
          <w:sz w:val="24"/>
          <w:szCs w:val="24"/>
        </w:rPr>
        <w:t>to</w:t>
      </w:r>
      <w:r w:rsidR="00BF2E46" w:rsidRPr="004B502E">
        <w:rPr>
          <w:rFonts w:ascii="Times New Roman" w:hAnsi="Times New Roman" w:cs="Times New Roman"/>
          <w:sz w:val="24"/>
          <w:szCs w:val="24"/>
        </w:rPr>
        <w:t xml:space="preserve"> </w:t>
      </w:r>
      <w:r w:rsidR="0092335E" w:rsidRPr="004B502E">
        <w:rPr>
          <w:rFonts w:ascii="Times New Roman" w:hAnsi="Times New Roman" w:cs="Times New Roman"/>
          <w:sz w:val="24"/>
          <w:szCs w:val="24"/>
        </w:rPr>
        <w:t>evaluat</w:t>
      </w:r>
      <w:r w:rsidR="00BF2E46">
        <w:rPr>
          <w:rFonts w:ascii="Times New Roman" w:hAnsi="Times New Roman" w:cs="Times New Roman"/>
          <w:sz w:val="24"/>
          <w:szCs w:val="24"/>
        </w:rPr>
        <w:t>e</w:t>
      </w:r>
      <w:r w:rsidR="0092335E" w:rsidRPr="004B502E">
        <w:rPr>
          <w:rFonts w:ascii="Times New Roman" w:hAnsi="Times New Roman" w:cs="Times New Roman"/>
          <w:sz w:val="24"/>
          <w:szCs w:val="24"/>
        </w:rPr>
        <w:t xml:space="preserve"> the capital adequacy of banks</w:t>
      </w:r>
      <w:r w:rsidR="00E62CE5" w:rsidRPr="004B502E">
        <w:rPr>
          <w:rFonts w:ascii="Times New Roman" w:hAnsi="Times New Roman" w:cs="Times New Roman"/>
          <w:sz w:val="24"/>
          <w:szCs w:val="24"/>
        </w:rPr>
        <w:t xml:space="preserve">. </w:t>
      </w:r>
      <w:r w:rsidR="00B31CE6" w:rsidRPr="004B502E">
        <w:rPr>
          <w:rFonts w:ascii="Times New Roman" w:hAnsi="Times New Roman" w:cs="Times New Roman"/>
          <w:sz w:val="24"/>
          <w:szCs w:val="24"/>
        </w:rPr>
        <w:t xml:space="preserve">Previously conducted studies </w:t>
      </w:r>
      <w:r w:rsidR="005101F2" w:rsidRPr="004B502E">
        <w:rPr>
          <w:rFonts w:ascii="Times New Roman" w:hAnsi="Times New Roman" w:cs="Times New Roman"/>
          <w:sz w:val="24"/>
          <w:szCs w:val="24"/>
        </w:rPr>
        <w:t xml:space="preserve">have shown </w:t>
      </w:r>
      <w:r w:rsidR="00B31CE6" w:rsidRPr="004B502E">
        <w:rPr>
          <w:rFonts w:ascii="Times New Roman" w:hAnsi="Times New Roman" w:cs="Times New Roman"/>
          <w:sz w:val="24"/>
          <w:szCs w:val="24"/>
        </w:rPr>
        <w:t xml:space="preserve">a positive effect of </w:t>
      </w:r>
      <w:r w:rsidR="00E62CE5" w:rsidRPr="004B502E">
        <w:rPr>
          <w:rFonts w:ascii="Times New Roman" w:hAnsi="Times New Roman" w:cs="Times New Roman"/>
          <w:sz w:val="24"/>
          <w:szCs w:val="24"/>
        </w:rPr>
        <w:t xml:space="preserve">this </w:t>
      </w:r>
      <w:r w:rsidR="00B31CE6" w:rsidRPr="004B502E">
        <w:rPr>
          <w:rFonts w:ascii="Times New Roman" w:hAnsi="Times New Roman" w:cs="Times New Roman"/>
          <w:sz w:val="24"/>
          <w:szCs w:val="24"/>
        </w:rPr>
        <w:t xml:space="preserve">ratio on </w:t>
      </w:r>
      <w:r w:rsidR="00852351">
        <w:rPr>
          <w:rFonts w:ascii="Times New Roman" w:hAnsi="Times New Roman" w:cs="Times New Roman"/>
          <w:sz w:val="24"/>
          <w:szCs w:val="24"/>
        </w:rPr>
        <w:t>Islamic banks</w:t>
      </w:r>
      <w:r w:rsidR="00B31CE6" w:rsidRPr="004B502E">
        <w:rPr>
          <w:rFonts w:ascii="Times New Roman" w:hAnsi="Times New Roman" w:cs="Times New Roman"/>
          <w:sz w:val="24"/>
          <w:szCs w:val="24"/>
        </w:rPr>
        <w:t>’ performance (</w:t>
      </w:r>
      <w:r w:rsidR="00075149" w:rsidRPr="004B502E">
        <w:rPr>
          <w:rFonts w:ascii="Times New Roman" w:hAnsi="Times New Roman" w:cs="Times New Roman"/>
          <w:sz w:val="24"/>
          <w:szCs w:val="24"/>
        </w:rPr>
        <w:t xml:space="preserve">Alkassim, 2005; </w:t>
      </w:r>
      <w:r w:rsidR="00B31CE6" w:rsidRPr="004B502E">
        <w:rPr>
          <w:rFonts w:ascii="Times New Roman" w:hAnsi="Times New Roman" w:cs="Times New Roman"/>
          <w:sz w:val="24"/>
          <w:szCs w:val="24"/>
        </w:rPr>
        <w:t xml:space="preserve">Bashir, 2003; </w:t>
      </w:r>
      <w:r w:rsidR="00951213" w:rsidRPr="004B502E">
        <w:rPr>
          <w:rFonts w:ascii="Times New Roman" w:hAnsi="Times New Roman" w:cs="Times New Roman"/>
          <w:sz w:val="24"/>
          <w:szCs w:val="24"/>
        </w:rPr>
        <w:t>Hassan &amp; Bashir, 2003</w:t>
      </w:r>
      <w:r w:rsidR="00E62CE5" w:rsidRPr="004B502E">
        <w:rPr>
          <w:rFonts w:ascii="Times New Roman" w:hAnsi="Times New Roman" w:cs="Times New Roman"/>
          <w:sz w:val="24"/>
          <w:szCs w:val="24"/>
        </w:rPr>
        <w:t xml:space="preserve">). This positive impact </w:t>
      </w:r>
      <w:r w:rsidR="00BF2E46">
        <w:rPr>
          <w:rFonts w:ascii="Times New Roman" w:hAnsi="Times New Roman" w:cs="Times New Roman"/>
          <w:sz w:val="24"/>
          <w:szCs w:val="24"/>
        </w:rPr>
        <w:t xml:space="preserve">is a result of </w:t>
      </w:r>
      <w:r w:rsidR="00B31CE6" w:rsidRPr="004B502E">
        <w:rPr>
          <w:rFonts w:ascii="Times New Roman" w:hAnsi="Times New Roman" w:cs="Times New Roman"/>
          <w:sz w:val="24"/>
          <w:szCs w:val="24"/>
        </w:rPr>
        <w:t xml:space="preserve">the </w:t>
      </w:r>
      <w:r w:rsidRPr="004B502E">
        <w:rPr>
          <w:rFonts w:ascii="Times New Roman" w:hAnsi="Times New Roman" w:cs="Times New Roman"/>
          <w:sz w:val="24"/>
          <w:szCs w:val="24"/>
        </w:rPr>
        <w:t xml:space="preserve">availability of cheap funds to </w:t>
      </w:r>
      <w:r w:rsidR="00852351">
        <w:rPr>
          <w:rFonts w:ascii="Times New Roman" w:hAnsi="Times New Roman" w:cs="Times New Roman"/>
          <w:sz w:val="24"/>
          <w:szCs w:val="24"/>
        </w:rPr>
        <w:t>Islamic banks</w:t>
      </w:r>
      <w:r w:rsidRPr="004B502E">
        <w:rPr>
          <w:rFonts w:ascii="Times New Roman" w:hAnsi="Times New Roman" w:cs="Times New Roman"/>
          <w:sz w:val="24"/>
          <w:szCs w:val="24"/>
        </w:rPr>
        <w:t xml:space="preserve">, and with </w:t>
      </w:r>
      <w:r w:rsidR="00BF2E46">
        <w:rPr>
          <w:rFonts w:ascii="Times New Roman" w:hAnsi="Times New Roman" w:cs="Times New Roman"/>
          <w:sz w:val="24"/>
          <w:szCs w:val="24"/>
        </w:rPr>
        <w:t xml:space="preserve">the </w:t>
      </w:r>
      <w:r w:rsidR="00B31CE6" w:rsidRPr="004B502E">
        <w:rPr>
          <w:rFonts w:ascii="Times New Roman" w:hAnsi="Times New Roman" w:cs="Times New Roman"/>
          <w:sz w:val="24"/>
          <w:szCs w:val="24"/>
        </w:rPr>
        <w:t>opportu</w:t>
      </w:r>
      <w:r w:rsidR="00E1492D" w:rsidRPr="004B502E">
        <w:rPr>
          <w:rFonts w:ascii="Times New Roman" w:hAnsi="Times New Roman" w:cs="Times New Roman"/>
          <w:sz w:val="24"/>
          <w:szCs w:val="24"/>
        </w:rPr>
        <w:t xml:space="preserve">nities </w:t>
      </w:r>
      <w:r w:rsidRPr="004B502E">
        <w:rPr>
          <w:rFonts w:ascii="Times New Roman" w:hAnsi="Times New Roman" w:cs="Times New Roman"/>
          <w:sz w:val="24"/>
          <w:szCs w:val="24"/>
        </w:rPr>
        <w:t>those funds gave to</w:t>
      </w:r>
      <w:r w:rsidR="00B31CE6" w:rsidRPr="004B502E">
        <w:rPr>
          <w:rFonts w:ascii="Times New Roman" w:hAnsi="Times New Roman" w:cs="Times New Roman"/>
          <w:sz w:val="24"/>
          <w:szCs w:val="24"/>
        </w:rPr>
        <w:t xml:space="preserve"> </w:t>
      </w:r>
      <w:r w:rsidR="00852351">
        <w:rPr>
          <w:rFonts w:ascii="Times New Roman" w:hAnsi="Times New Roman" w:cs="Times New Roman"/>
          <w:sz w:val="24"/>
          <w:szCs w:val="24"/>
        </w:rPr>
        <w:t>Islamic banks</w:t>
      </w:r>
      <w:r w:rsidR="00B31CE6" w:rsidRPr="004B502E">
        <w:rPr>
          <w:rFonts w:ascii="Times New Roman" w:hAnsi="Times New Roman" w:cs="Times New Roman"/>
          <w:sz w:val="24"/>
          <w:szCs w:val="24"/>
        </w:rPr>
        <w:t xml:space="preserve">. However, </w:t>
      </w:r>
      <w:r w:rsidR="009D3542" w:rsidRPr="004B502E">
        <w:rPr>
          <w:rFonts w:ascii="Times New Roman" w:hAnsi="Times New Roman" w:cs="Times New Roman"/>
          <w:sz w:val="24"/>
          <w:szCs w:val="24"/>
        </w:rPr>
        <w:t xml:space="preserve">Wasiuzzaman </w:t>
      </w:r>
      <w:r w:rsidR="006B7968" w:rsidRPr="004B502E">
        <w:rPr>
          <w:rFonts w:ascii="Times New Roman" w:hAnsi="Times New Roman" w:cs="Times New Roman"/>
          <w:sz w:val="24"/>
          <w:szCs w:val="24"/>
        </w:rPr>
        <w:t>and</w:t>
      </w:r>
      <w:r w:rsidR="009D3542" w:rsidRPr="004B502E">
        <w:rPr>
          <w:rFonts w:ascii="Times New Roman" w:hAnsi="Times New Roman" w:cs="Times New Roman"/>
          <w:sz w:val="24"/>
          <w:szCs w:val="24"/>
        </w:rPr>
        <w:t xml:space="preserve"> Tarmizi (</w:t>
      </w:r>
      <w:r w:rsidR="00C8118F" w:rsidRPr="004B502E">
        <w:rPr>
          <w:rFonts w:ascii="Times New Roman" w:hAnsi="Times New Roman" w:cs="Times New Roman"/>
          <w:sz w:val="24"/>
          <w:szCs w:val="24"/>
        </w:rPr>
        <w:t>2010</w:t>
      </w:r>
      <w:r w:rsidR="009D3542" w:rsidRPr="004B502E">
        <w:rPr>
          <w:rFonts w:ascii="Times New Roman" w:hAnsi="Times New Roman" w:cs="Times New Roman"/>
          <w:sz w:val="24"/>
          <w:szCs w:val="24"/>
        </w:rPr>
        <w:t xml:space="preserve">) </w:t>
      </w:r>
      <w:r w:rsidR="00E1492D" w:rsidRPr="004B502E">
        <w:rPr>
          <w:rFonts w:ascii="Times New Roman" w:hAnsi="Times New Roman" w:cs="Times New Roman"/>
          <w:sz w:val="24"/>
          <w:szCs w:val="24"/>
        </w:rPr>
        <w:t>fou</w:t>
      </w:r>
      <w:r w:rsidR="009D3542" w:rsidRPr="004B502E">
        <w:rPr>
          <w:rFonts w:ascii="Times New Roman" w:hAnsi="Times New Roman" w:cs="Times New Roman"/>
          <w:sz w:val="24"/>
          <w:szCs w:val="24"/>
        </w:rPr>
        <w:t xml:space="preserve">nd a negative </w:t>
      </w:r>
      <w:r w:rsidR="00B31CE6" w:rsidRPr="004B502E">
        <w:rPr>
          <w:rFonts w:ascii="Times New Roman" w:hAnsi="Times New Roman" w:cs="Times New Roman"/>
          <w:sz w:val="24"/>
          <w:szCs w:val="24"/>
        </w:rPr>
        <w:t xml:space="preserve">effect </w:t>
      </w:r>
      <w:r w:rsidR="00E1492D" w:rsidRPr="004B502E">
        <w:rPr>
          <w:rFonts w:ascii="Times New Roman" w:hAnsi="Times New Roman" w:cs="Times New Roman"/>
          <w:sz w:val="24"/>
          <w:szCs w:val="24"/>
        </w:rPr>
        <w:t xml:space="preserve">of capital ratio on </w:t>
      </w:r>
      <w:r w:rsidR="00BF2E46" w:rsidRPr="004B502E">
        <w:rPr>
          <w:rFonts w:ascii="Times New Roman" w:hAnsi="Times New Roman" w:cs="Times New Roman"/>
          <w:sz w:val="24"/>
          <w:szCs w:val="24"/>
        </w:rPr>
        <w:t xml:space="preserve">Malaysian </w:t>
      </w:r>
      <w:r w:rsidR="00BF2E46">
        <w:rPr>
          <w:rFonts w:ascii="Times New Roman" w:hAnsi="Times New Roman" w:cs="Times New Roman"/>
          <w:sz w:val="24"/>
          <w:szCs w:val="24"/>
        </w:rPr>
        <w:t xml:space="preserve">Islamic </w:t>
      </w:r>
      <w:r w:rsidR="00E1492D" w:rsidRPr="004B502E">
        <w:rPr>
          <w:rFonts w:ascii="Times New Roman" w:hAnsi="Times New Roman" w:cs="Times New Roman"/>
          <w:sz w:val="24"/>
          <w:szCs w:val="24"/>
        </w:rPr>
        <w:t>bank</w:t>
      </w:r>
      <w:r w:rsidR="009D3542" w:rsidRPr="004B502E">
        <w:rPr>
          <w:rFonts w:ascii="Times New Roman" w:hAnsi="Times New Roman" w:cs="Times New Roman"/>
          <w:sz w:val="24"/>
          <w:szCs w:val="24"/>
        </w:rPr>
        <w:t xml:space="preserve"> performance</w:t>
      </w:r>
      <w:r w:rsidR="001F4CC2">
        <w:rPr>
          <w:rFonts w:ascii="Times New Roman" w:hAnsi="Times New Roman" w:cs="Times New Roman"/>
          <w:sz w:val="24"/>
          <w:szCs w:val="24"/>
        </w:rPr>
        <w:t xml:space="preserve"> which was explained with the </w:t>
      </w:r>
      <w:r w:rsidR="009D3542" w:rsidRPr="004B502E">
        <w:rPr>
          <w:rFonts w:ascii="Times New Roman" w:hAnsi="Times New Roman" w:cs="Times New Roman"/>
          <w:sz w:val="24"/>
          <w:szCs w:val="24"/>
        </w:rPr>
        <w:t>lower possibility of highly capitalized banks to</w:t>
      </w:r>
      <w:r w:rsidR="00422714" w:rsidRPr="004B502E">
        <w:rPr>
          <w:rFonts w:ascii="Times New Roman" w:hAnsi="Times New Roman" w:cs="Times New Roman"/>
          <w:sz w:val="24"/>
          <w:szCs w:val="24"/>
        </w:rPr>
        <w:t xml:space="preserve"> engage in riskier operations.</w:t>
      </w:r>
      <w:r w:rsidR="00B31CE6" w:rsidRPr="004B502E">
        <w:rPr>
          <w:rFonts w:ascii="Times New Roman" w:hAnsi="Times New Roman" w:cs="Times New Roman"/>
          <w:sz w:val="24"/>
          <w:szCs w:val="24"/>
        </w:rPr>
        <w:t xml:space="preserve"> T</w:t>
      </w:r>
      <w:r w:rsidR="00D06CEE" w:rsidRPr="004B502E">
        <w:rPr>
          <w:rFonts w:ascii="Times New Roman" w:hAnsi="Times New Roman" w:cs="Times New Roman"/>
          <w:sz w:val="24"/>
          <w:szCs w:val="24"/>
        </w:rPr>
        <w:t xml:space="preserve">his variable </w:t>
      </w:r>
      <w:r w:rsidR="00D94D31">
        <w:rPr>
          <w:rFonts w:ascii="Times New Roman" w:hAnsi="Times New Roman" w:cs="Times New Roman"/>
          <w:sz w:val="24"/>
          <w:szCs w:val="24"/>
        </w:rPr>
        <w:t xml:space="preserve">will be included in this study because it </w:t>
      </w:r>
      <w:r w:rsidR="00986548" w:rsidRPr="004B502E">
        <w:rPr>
          <w:rFonts w:ascii="Times New Roman" w:hAnsi="Times New Roman" w:cs="Times New Roman"/>
          <w:sz w:val="24"/>
          <w:szCs w:val="24"/>
        </w:rPr>
        <w:t xml:space="preserve">shows the capitalization level of banks </w:t>
      </w:r>
      <w:r w:rsidR="00533741">
        <w:rPr>
          <w:rFonts w:ascii="Times New Roman" w:hAnsi="Times New Roman" w:cs="Times New Roman"/>
          <w:sz w:val="24"/>
          <w:szCs w:val="24"/>
        </w:rPr>
        <w:t>that</w:t>
      </w:r>
      <w:r w:rsidR="00533741" w:rsidRPr="004B502E">
        <w:rPr>
          <w:rFonts w:ascii="Times New Roman" w:hAnsi="Times New Roman" w:cs="Times New Roman"/>
          <w:sz w:val="24"/>
          <w:szCs w:val="24"/>
        </w:rPr>
        <w:t xml:space="preserve"> </w:t>
      </w:r>
      <w:r w:rsidR="00986548" w:rsidRPr="004B502E">
        <w:rPr>
          <w:rFonts w:ascii="Times New Roman" w:hAnsi="Times New Roman" w:cs="Times New Roman"/>
          <w:sz w:val="24"/>
          <w:szCs w:val="24"/>
        </w:rPr>
        <w:t xml:space="preserve">directly affects the profitability. </w:t>
      </w:r>
      <w:r w:rsidR="00E1492D" w:rsidRPr="004B502E">
        <w:rPr>
          <w:rFonts w:ascii="Times New Roman" w:hAnsi="Times New Roman" w:cs="Times New Roman"/>
          <w:sz w:val="24"/>
          <w:szCs w:val="24"/>
        </w:rPr>
        <w:t>It is expected to a</w:t>
      </w:r>
      <w:r w:rsidR="00B31CE6" w:rsidRPr="004B502E">
        <w:rPr>
          <w:rFonts w:ascii="Times New Roman" w:hAnsi="Times New Roman" w:cs="Times New Roman"/>
          <w:sz w:val="24"/>
          <w:szCs w:val="24"/>
        </w:rPr>
        <w:t xml:space="preserve">ffect the profitability positively, since it expands the production capability of </w:t>
      </w:r>
      <w:r w:rsidR="00533741">
        <w:rPr>
          <w:rFonts w:ascii="Times New Roman" w:hAnsi="Times New Roman" w:cs="Times New Roman"/>
          <w:sz w:val="24"/>
          <w:szCs w:val="24"/>
        </w:rPr>
        <w:t xml:space="preserve">the </w:t>
      </w:r>
      <w:r w:rsidR="00B31CE6" w:rsidRPr="004B502E">
        <w:rPr>
          <w:rFonts w:ascii="Times New Roman" w:hAnsi="Times New Roman" w:cs="Times New Roman"/>
          <w:sz w:val="24"/>
          <w:szCs w:val="24"/>
        </w:rPr>
        <w:t>bank and stimulates cash flow.</w:t>
      </w:r>
    </w:p>
    <w:p w:rsidR="00EC0465" w:rsidRPr="004B502E" w:rsidRDefault="00533741" w:rsidP="005A57B8">
      <w:pPr>
        <w:spacing w:line="480" w:lineRule="auto"/>
        <w:ind w:firstLine="720"/>
        <w:rPr>
          <w:rFonts w:ascii="Times New Roman" w:hAnsi="Times New Roman" w:cs="Times New Roman"/>
          <w:sz w:val="24"/>
          <w:szCs w:val="24"/>
        </w:rPr>
      </w:pPr>
      <w:r>
        <w:rPr>
          <w:rFonts w:ascii="Times New Roman" w:hAnsi="Times New Roman" w:cs="Times New Roman"/>
          <w:b/>
          <w:sz w:val="24"/>
          <w:szCs w:val="24"/>
        </w:rPr>
        <w:t>L</w:t>
      </w:r>
      <w:r w:rsidR="0006555E" w:rsidRPr="004B502E">
        <w:rPr>
          <w:rFonts w:ascii="Times New Roman" w:hAnsi="Times New Roman" w:cs="Times New Roman"/>
          <w:b/>
          <w:sz w:val="24"/>
          <w:szCs w:val="24"/>
        </w:rPr>
        <w:t>iquidity ratios</w:t>
      </w:r>
      <w:r w:rsidR="005E46AB" w:rsidRPr="004B502E">
        <w:rPr>
          <w:rFonts w:ascii="Times New Roman" w:hAnsi="Times New Roman" w:cs="Times New Roman"/>
          <w:b/>
          <w:sz w:val="24"/>
          <w:szCs w:val="24"/>
        </w:rPr>
        <w:t xml:space="preserve"> </w:t>
      </w:r>
      <w:r w:rsidRPr="004B502E">
        <w:rPr>
          <w:rFonts w:ascii="Times New Roman" w:hAnsi="Times New Roman" w:cs="Times New Roman"/>
          <w:sz w:val="24"/>
          <w:szCs w:val="24"/>
        </w:rPr>
        <w:t xml:space="preserve">have </w:t>
      </w:r>
      <w:r w:rsidR="005E46AB" w:rsidRPr="004B502E">
        <w:rPr>
          <w:rFonts w:ascii="Times New Roman" w:hAnsi="Times New Roman" w:cs="Times New Roman"/>
          <w:sz w:val="24"/>
          <w:szCs w:val="24"/>
        </w:rPr>
        <w:t>also found wide</w:t>
      </w:r>
      <w:r w:rsidR="005E46AB" w:rsidRPr="004B502E">
        <w:rPr>
          <w:rFonts w:ascii="Times New Roman" w:hAnsi="Times New Roman" w:cs="Times New Roman"/>
          <w:b/>
          <w:sz w:val="24"/>
          <w:szCs w:val="24"/>
        </w:rPr>
        <w:t xml:space="preserve"> </w:t>
      </w:r>
      <w:r>
        <w:rPr>
          <w:rFonts w:ascii="Times New Roman" w:hAnsi="Times New Roman" w:cs="Times New Roman"/>
          <w:sz w:val="24"/>
          <w:szCs w:val="24"/>
        </w:rPr>
        <w:t>use</w:t>
      </w:r>
      <w:r w:rsidRPr="004B502E">
        <w:rPr>
          <w:rFonts w:ascii="Times New Roman" w:hAnsi="Times New Roman" w:cs="Times New Roman"/>
          <w:sz w:val="24"/>
          <w:szCs w:val="24"/>
        </w:rPr>
        <w:t xml:space="preserve"> </w:t>
      </w:r>
      <w:r w:rsidR="005E46AB" w:rsidRPr="004B502E">
        <w:rPr>
          <w:rFonts w:ascii="Times New Roman" w:hAnsi="Times New Roman" w:cs="Times New Roman"/>
          <w:sz w:val="24"/>
          <w:szCs w:val="24"/>
        </w:rPr>
        <w:t xml:space="preserve">in profitability studies </w:t>
      </w:r>
      <w:r>
        <w:rPr>
          <w:rFonts w:ascii="Times New Roman" w:hAnsi="Times New Roman" w:cs="Times New Roman"/>
          <w:sz w:val="24"/>
          <w:szCs w:val="24"/>
        </w:rPr>
        <w:t>of</w:t>
      </w:r>
      <w:r w:rsidR="005E46AB" w:rsidRPr="004B502E">
        <w:rPr>
          <w:rFonts w:ascii="Times New Roman" w:hAnsi="Times New Roman" w:cs="Times New Roman"/>
          <w:sz w:val="24"/>
          <w:szCs w:val="24"/>
        </w:rPr>
        <w:t xml:space="preserve"> </w:t>
      </w:r>
      <w:r w:rsidR="00852351">
        <w:rPr>
          <w:rFonts w:ascii="Times New Roman" w:hAnsi="Times New Roman" w:cs="Times New Roman"/>
          <w:sz w:val="24"/>
          <w:szCs w:val="24"/>
        </w:rPr>
        <w:t>Islamic banks</w:t>
      </w:r>
      <w:r w:rsidR="005E46AB" w:rsidRPr="004B502E">
        <w:rPr>
          <w:rFonts w:ascii="Times New Roman" w:hAnsi="Times New Roman" w:cs="Times New Roman"/>
          <w:sz w:val="24"/>
          <w:szCs w:val="24"/>
        </w:rPr>
        <w:t xml:space="preserve"> due to </w:t>
      </w:r>
      <w:r>
        <w:rPr>
          <w:rFonts w:ascii="Times New Roman" w:hAnsi="Times New Roman" w:cs="Times New Roman"/>
          <w:sz w:val="24"/>
          <w:szCs w:val="24"/>
        </w:rPr>
        <w:t xml:space="preserve">the </w:t>
      </w:r>
      <w:r w:rsidR="005E46AB" w:rsidRPr="004B502E">
        <w:rPr>
          <w:rFonts w:ascii="Times New Roman" w:hAnsi="Times New Roman" w:cs="Times New Roman"/>
          <w:sz w:val="24"/>
          <w:szCs w:val="24"/>
        </w:rPr>
        <w:t xml:space="preserve">riskiness of </w:t>
      </w:r>
      <w:r>
        <w:rPr>
          <w:rFonts w:ascii="Times New Roman" w:hAnsi="Times New Roman" w:cs="Times New Roman"/>
          <w:sz w:val="24"/>
          <w:szCs w:val="24"/>
        </w:rPr>
        <w:t>their</w:t>
      </w:r>
      <w:r w:rsidRPr="004B502E">
        <w:rPr>
          <w:rFonts w:ascii="Times New Roman" w:hAnsi="Times New Roman" w:cs="Times New Roman"/>
          <w:sz w:val="24"/>
          <w:szCs w:val="24"/>
        </w:rPr>
        <w:t xml:space="preserve"> </w:t>
      </w:r>
      <w:r w:rsidR="005E46AB" w:rsidRPr="004B502E">
        <w:rPr>
          <w:rFonts w:ascii="Times New Roman" w:hAnsi="Times New Roman" w:cs="Times New Roman"/>
          <w:sz w:val="24"/>
          <w:szCs w:val="24"/>
        </w:rPr>
        <w:t xml:space="preserve">operations. </w:t>
      </w:r>
      <w:r w:rsidR="00D1125F" w:rsidRPr="004B502E">
        <w:rPr>
          <w:rFonts w:ascii="Times New Roman" w:hAnsi="Times New Roman" w:cs="Times New Roman"/>
          <w:sz w:val="24"/>
          <w:szCs w:val="24"/>
        </w:rPr>
        <w:t xml:space="preserve">In this study, as a proxy of the </w:t>
      </w:r>
      <w:r w:rsidR="00675B4F">
        <w:rPr>
          <w:rFonts w:ascii="Times New Roman" w:hAnsi="Times New Roman" w:cs="Times New Roman"/>
          <w:sz w:val="24"/>
          <w:szCs w:val="24"/>
        </w:rPr>
        <w:t>liquidity ratio</w:t>
      </w:r>
      <w:r w:rsidR="00D1125F" w:rsidRPr="004B502E">
        <w:rPr>
          <w:rFonts w:ascii="Times New Roman" w:hAnsi="Times New Roman" w:cs="Times New Roman"/>
          <w:sz w:val="24"/>
          <w:szCs w:val="24"/>
        </w:rPr>
        <w:t xml:space="preserve">, we will include the ratio of </w:t>
      </w:r>
      <w:r w:rsidR="00CC7052" w:rsidRPr="004B502E">
        <w:rPr>
          <w:rFonts w:ascii="Times New Roman" w:hAnsi="Times New Roman" w:cs="Times New Roman"/>
          <w:sz w:val="24"/>
          <w:szCs w:val="24"/>
        </w:rPr>
        <w:t>total</w:t>
      </w:r>
      <w:r w:rsidR="001F4CC2">
        <w:rPr>
          <w:rFonts w:ascii="Times New Roman" w:hAnsi="Times New Roman" w:cs="Times New Roman"/>
          <w:sz w:val="24"/>
          <w:szCs w:val="24"/>
        </w:rPr>
        <w:t xml:space="preserve"> </w:t>
      </w:r>
      <w:r w:rsidR="00CC7052" w:rsidRPr="004B502E">
        <w:rPr>
          <w:rFonts w:ascii="Times New Roman" w:hAnsi="Times New Roman" w:cs="Times New Roman"/>
          <w:sz w:val="24"/>
          <w:szCs w:val="24"/>
        </w:rPr>
        <w:t>loans to</w:t>
      </w:r>
      <w:r w:rsidR="008A71F3" w:rsidRPr="004B502E">
        <w:rPr>
          <w:rFonts w:ascii="Times New Roman" w:hAnsi="Times New Roman" w:cs="Times New Roman"/>
          <w:sz w:val="24"/>
          <w:szCs w:val="24"/>
        </w:rPr>
        <w:t xml:space="preserve"> total assets</w:t>
      </w:r>
      <w:r w:rsidR="00D1125F" w:rsidRPr="004B502E">
        <w:rPr>
          <w:rFonts w:ascii="Times New Roman" w:hAnsi="Times New Roman" w:cs="Times New Roman"/>
          <w:sz w:val="24"/>
          <w:szCs w:val="24"/>
        </w:rPr>
        <w:t>. This ratio</w:t>
      </w:r>
      <w:r w:rsidR="008A71F3" w:rsidRPr="004B502E">
        <w:rPr>
          <w:rFonts w:ascii="Times New Roman" w:hAnsi="Times New Roman" w:cs="Times New Roman"/>
          <w:sz w:val="24"/>
          <w:szCs w:val="24"/>
        </w:rPr>
        <w:t xml:space="preserve"> </w:t>
      </w:r>
      <w:r>
        <w:rPr>
          <w:rFonts w:ascii="Times New Roman" w:hAnsi="Times New Roman" w:cs="Times New Roman"/>
          <w:sz w:val="24"/>
          <w:szCs w:val="24"/>
        </w:rPr>
        <w:t>i</w:t>
      </w:r>
      <w:r w:rsidRPr="004B502E">
        <w:rPr>
          <w:rFonts w:ascii="Times New Roman" w:hAnsi="Times New Roman" w:cs="Times New Roman"/>
          <w:sz w:val="24"/>
          <w:szCs w:val="24"/>
        </w:rPr>
        <w:t xml:space="preserve">s </w:t>
      </w:r>
      <w:r w:rsidR="008A71F3" w:rsidRPr="004B502E">
        <w:rPr>
          <w:rFonts w:ascii="Times New Roman" w:hAnsi="Times New Roman" w:cs="Times New Roman"/>
          <w:sz w:val="24"/>
          <w:szCs w:val="24"/>
        </w:rPr>
        <w:t xml:space="preserve">significant in </w:t>
      </w:r>
      <w:r w:rsidR="003128A8" w:rsidRPr="004B502E">
        <w:rPr>
          <w:rFonts w:ascii="Times New Roman" w:hAnsi="Times New Roman" w:cs="Times New Roman"/>
          <w:sz w:val="24"/>
          <w:szCs w:val="24"/>
        </w:rPr>
        <w:t xml:space="preserve">the </w:t>
      </w:r>
      <w:r w:rsidR="008A71F3" w:rsidRPr="004B502E">
        <w:rPr>
          <w:rFonts w:ascii="Times New Roman" w:hAnsi="Times New Roman" w:cs="Times New Roman"/>
          <w:sz w:val="24"/>
          <w:szCs w:val="24"/>
        </w:rPr>
        <w:t xml:space="preserve">profitability of </w:t>
      </w:r>
      <w:r w:rsidR="00852351">
        <w:rPr>
          <w:rFonts w:ascii="Times New Roman" w:hAnsi="Times New Roman" w:cs="Times New Roman"/>
          <w:sz w:val="24"/>
          <w:szCs w:val="24"/>
        </w:rPr>
        <w:t>Islamic banks</w:t>
      </w:r>
      <w:r w:rsidR="008A71F3" w:rsidRPr="004B502E">
        <w:rPr>
          <w:rFonts w:ascii="Times New Roman" w:hAnsi="Times New Roman" w:cs="Times New Roman"/>
          <w:sz w:val="24"/>
          <w:szCs w:val="24"/>
        </w:rPr>
        <w:t xml:space="preserve"> due to their engagement in PLS</w:t>
      </w:r>
      <w:r w:rsidR="009927C3" w:rsidRPr="004B502E">
        <w:rPr>
          <w:rFonts w:ascii="Times New Roman" w:hAnsi="Times New Roman" w:cs="Times New Roman"/>
          <w:sz w:val="24"/>
          <w:szCs w:val="24"/>
        </w:rPr>
        <w:t xml:space="preserve"> </w:t>
      </w:r>
      <w:r w:rsidR="001F4CC2">
        <w:rPr>
          <w:rFonts w:ascii="Times New Roman" w:hAnsi="Times New Roman" w:cs="Times New Roman"/>
          <w:sz w:val="24"/>
          <w:szCs w:val="24"/>
        </w:rPr>
        <w:t xml:space="preserve">and other </w:t>
      </w:r>
      <w:r w:rsidR="00EC0465" w:rsidRPr="004B502E">
        <w:rPr>
          <w:rFonts w:ascii="Times New Roman" w:hAnsi="Times New Roman" w:cs="Times New Roman"/>
          <w:sz w:val="24"/>
          <w:szCs w:val="24"/>
        </w:rPr>
        <w:t>loans.</w:t>
      </w:r>
    </w:p>
    <w:p w:rsidR="00BD5159" w:rsidRPr="004B502E" w:rsidRDefault="008A71F3" w:rsidP="005A57B8">
      <w:pPr>
        <w:spacing w:line="480" w:lineRule="auto"/>
        <w:ind w:firstLine="720"/>
        <w:rPr>
          <w:rFonts w:ascii="Times New Roman" w:hAnsi="Times New Roman" w:cs="Times New Roman"/>
          <w:sz w:val="24"/>
          <w:szCs w:val="24"/>
        </w:rPr>
      </w:pPr>
      <w:r w:rsidRPr="004B502E">
        <w:rPr>
          <w:rFonts w:ascii="Times New Roman" w:hAnsi="Times New Roman" w:cs="Times New Roman"/>
          <w:sz w:val="24"/>
          <w:szCs w:val="24"/>
        </w:rPr>
        <w:t xml:space="preserve">As </w:t>
      </w:r>
      <w:r w:rsidR="003128A8" w:rsidRPr="004B502E">
        <w:rPr>
          <w:rFonts w:ascii="Times New Roman" w:hAnsi="Times New Roman" w:cs="Times New Roman"/>
          <w:sz w:val="24"/>
          <w:szCs w:val="24"/>
        </w:rPr>
        <w:t>previously mentioned</w:t>
      </w:r>
      <w:r w:rsidRPr="004B502E">
        <w:rPr>
          <w:rFonts w:ascii="Times New Roman" w:hAnsi="Times New Roman" w:cs="Times New Roman"/>
          <w:sz w:val="24"/>
          <w:szCs w:val="24"/>
        </w:rPr>
        <w:t xml:space="preserve">, </w:t>
      </w:r>
      <w:r w:rsidR="00852351">
        <w:rPr>
          <w:rFonts w:ascii="Times New Roman" w:hAnsi="Times New Roman" w:cs="Times New Roman"/>
          <w:sz w:val="24"/>
          <w:szCs w:val="24"/>
        </w:rPr>
        <w:t>Islamic banks</w:t>
      </w:r>
      <w:r w:rsidRPr="004B502E">
        <w:rPr>
          <w:rFonts w:ascii="Times New Roman" w:hAnsi="Times New Roman" w:cs="Times New Roman"/>
          <w:sz w:val="24"/>
          <w:szCs w:val="24"/>
        </w:rPr>
        <w:t xml:space="preserve"> have only</w:t>
      </w:r>
      <w:r w:rsidR="003128A8" w:rsidRPr="004B502E">
        <w:rPr>
          <w:rFonts w:ascii="Times New Roman" w:hAnsi="Times New Roman" w:cs="Times New Roman"/>
          <w:sz w:val="24"/>
          <w:szCs w:val="24"/>
        </w:rPr>
        <w:t xml:space="preserve"> a</w:t>
      </w:r>
      <w:r w:rsidRPr="004B502E">
        <w:rPr>
          <w:rFonts w:ascii="Times New Roman" w:hAnsi="Times New Roman" w:cs="Times New Roman"/>
          <w:sz w:val="24"/>
          <w:szCs w:val="24"/>
        </w:rPr>
        <w:t xml:space="preserve"> limited number of financial products that they are allowed to use, and the PLS loans comprise the main part of it. </w:t>
      </w:r>
      <w:r w:rsidR="00533741">
        <w:rPr>
          <w:rFonts w:ascii="Times New Roman" w:hAnsi="Times New Roman" w:cs="Times New Roman"/>
          <w:sz w:val="24"/>
          <w:szCs w:val="24"/>
        </w:rPr>
        <w:t>A h</w:t>
      </w:r>
      <w:r w:rsidR="00533741" w:rsidRPr="004B502E">
        <w:rPr>
          <w:rFonts w:ascii="Times New Roman" w:hAnsi="Times New Roman" w:cs="Times New Roman"/>
          <w:sz w:val="24"/>
          <w:szCs w:val="24"/>
        </w:rPr>
        <w:t xml:space="preserve">igh </w:t>
      </w:r>
      <w:r w:rsidR="00533741">
        <w:rPr>
          <w:rFonts w:ascii="Times New Roman" w:hAnsi="Times New Roman" w:cs="Times New Roman"/>
          <w:sz w:val="24"/>
          <w:szCs w:val="24"/>
        </w:rPr>
        <w:t>number</w:t>
      </w:r>
      <w:r w:rsidR="00533741" w:rsidRPr="004B502E">
        <w:rPr>
          <w:rFonts w:ascii="Times New Roman" w:hAnsi="Times New Roman" w:cs="Times New Roman"/>
          <w:sz w:val="24"/>
          <w:szCs w:val="24"/>
        </w:rPr>
        <w:t xml:space="preserve"> </w:t>
      </w:r>
      <w:r w:rsidR="00E1492D" w:rsidRPr="004B502E">
        <w:rPr>
          <w:rFonts w:ascii="Times New Roman" w:hAnsi="Times New Roman" w:cs="Times New Roman"/>
          <w:sz w:val="24"/>
          <w:szCs w:val="24"/>
        </w:rPr>
        <w:t>of loans guarantee high profits. H</w:t>
      </w:r>
      <w:r w:rsidRPr="004B502E">
        <w:rPr>
          <w:rFonts w:ascii="Times New Roman" w:hAnsi="Times New Roman" w:cs="Times New Roman"/>
          <w:sz w:val="24"/>
          <w:szCs w:val="24"/>
        </w:rPr>
        <w:t>owever</w:t>
      </w:r>
      <w:r w:rsidR="003128A8" w:rsidRPr="004B502E">
        <w:rPr>
          <w:rFonts w:ascii="Times New Roman" w:hAnsi="Times New Roman" w:cs="Times New Roman"/>
          <w:sz w:val="24"/>
          <w:szCs w:val="24"/>
        </w:rPr>
        <w:t>, the</w:t>
      </w:r>
      <w:r w:rsidRPr="004B502E">
        <w:rPr>
          <w:rFonts w:ascii="Times New Roman" w:hAnsi="Times New Roman" w:cs="Times New Roman"/>
          <w:sz w:val="24"/>
          <w:szCs w:val="24"/>
        </w:rPr>
        <w:t xml:space="preserve"> </w:t>
      </w:r>
      <w:r w:rsidR="00E1492D" w:rsidRPr="004B502E">
        <w:rPr>
          <w:rFonts w:ascii="Times New Roman" w:hAnsi="Times New Roman" w:cs="Times New Roman"/>
          <w:sz w:val="24"/>
          <w:szCs w:val="24"/>
        </w:rPr>
        <w:t xml:space="preserve">success of those loans </w:t>
      </w:r>
      <w:r w:rsidR="00533741">
        <w:rPr>
          <w:rFonts w:ascii="Times New Roman" w:hAnsi="Times New Roman" w:cs="Times New Roman"/>
          <w:sz w:val="24"/>
          <w:szCs w:val="24"/>
        </w:rPr>
        <w:t>great</w:t>
      </w:r>
      <w:r w:rsidR="00533741" w:rsidRPr="004B502E">
        <w:rPr>
          <w:rFonts w:ascii="Times New Roman" w:hAnsi="Times New Roman" w:cs="Times New Roman"/>
          <w:sz w:val="24"/>
          <w:szCs w:val="24"/>
        </w:rPr>
        <w:t xml:space="preserve">ly </w:t>
      </w:r>
      <w:r w:rsidR="00E1492D" w:rsidRPr="004B502E">
        <w:rPr>
          <w:rFonts w:ascii="Times New Roman" w:hAnsi="Times New Roman" w:cs="Times New Roman"/>
          <w:sz w:val="24"/>
          <w:szCs w:val="24"/>
        </w:rPr>
        <w:t>depends</w:t>
      </w:r>
      <w:r w:rsidR="0024193B" w:rsidRPr="004B502E">
        <w:rPr>
          <w:rFonts w:ascii="Times New Roman" w:hAnsi="Times New Roman" w:cs="Times New Roman"/>
          <w:sz w:val="24"/>
          <w:szCs w:val="24"/>
        </w:rPr>
        <w:t xml:space="preserve"> on the macroeconomic condition of</w:t>
      </w:r>
      <w:r w:rsidRPr="004B502E">
        <w:rPr>
          <w:rFonts w:ascii="Times New Roman" w:hAnsi="Times New Roman" w:cs="Times New Roman"/>
          <w:sz w:val="24"/>
          <w:szCs w:val="24"/>
        </w:rPr>
        <w:t xml:space="preserve"> the country</w:t>
      </w:r>
      <w:r w:rsidR="00533741">
        <w:rPr>
          <w:rFonts w:ascii="Times New Roman" w:hAnsi="Times New Roman" w:cs="Times New Roman"/>
          <w:sz w:val="24"/>
          <w:szCs w:val="24"/>
        </w:rPr>
        <w:t>,</w:t>
      </w:r>
      <w:r w:rsidR="00D1125F" w:rsidRPr="004B502E">
        <w:rPr>
          <w:rFonts w:ascii="Times New Roman" w:hAnsi="Times New Roman" w:cs="Times New Roman"/>
          <w:sz w:val="24"/>
          <w:szCs w:val="24"/>
        </w:rPr>
        <w:t xml:space="preserve"> which increases the riskiness of this policy </w:t>
      </w:r>
      <w:r w:rsidR="0085681F" w:rsidRPr="004B502E">
        <w:rPr>
          <w:rFonts w:ascii="Times New Roman" w:hAnsi="Times New Roman" w:cs="Times New Roman"/>
          <w:sz w:val="24"/>
          <w:szCs w:val="24"/>
        </w:rPr>
        <w:t>(Bashir, 2003)</w:t>
      </w:r>
      <w:r w:rsidR="00A31A9C" w:rsidRPr="004B502E">
        <w:rPr>
          <w:rFonts w:ascii="Times New Roman" w:hAnsi="Times New Roman" w:cs="Times New Roman"/>
          <w:sz w:val="24"/>
          <w:szCs w:val="24"/>
        </w:rPr>
        <w:t>.</w:t>
      </w:r>
      <w:r w:rsidR="00D1125F" w:rsidRPr="004B502E">
        <w:rPr>
          <w:rStyle w:val="FootnoteReference"/>
          <w:rFonts w:ascii="Times New Roman" w:hAnsi="Times New Roman" w:cs="Times New Roman"/>
          <w:sz w:val="24"/>
          <w:szCs w:val="24"/>
        </w:rPr>
        <w:footnoteReference w:id="3"/>
      </w:r>
      <w:r w:rsidR="00A31A9C" w:rsidRPr="004B502E">
        <w:rPr>
          <w:rFonts w:ascii="Times New Roman" w:hAnsi="Times New Roman" w:cs="Times New Roman"/>
          <w:sz w:val="24"/>
          <w:szCs w:val="24"/>
        </w:rPr>
        <w:t xml:space="preserve"> </w:t>
      </w:r>
      <w:r w:rsidR="00E1492D" w:rsidRPr="004B502E">
        <w:rPr>
          <w:rFonts w:ascii="Times New Roman" w:hAnsi="Times New Roman" w:cs="Times New Roman"/>
          <w:sz w:val="24"/>
          <w:szCs w:val="24"/>
        </w:rPr>
        <w:t>In several studies (Idris et al</w:t>
      </w:r>
      <w:r w:rsidR="00533741" w:rsidRPr="004B502E">
        <w:rPr>
          <w:rFonts w:ascii="Times New Roman" w:hAnsi="Times New Roman" w:cs="Times New Roman"/>
          <w:sz w:val="24"/>
          <w:szCs w:val="24"/>
        </w:rPr>
        <w:t>.</w:t>
      </w:r>
      <w:r w:rsidR="00533741">
        <w:rPr>
          <w:rFonts w:ascii="Times New Roman" w:hAnsi="Times New Roman" w:cs="Times New Roman"/>
          <w:sz w:val="24"/>
          <w:szCs w:val="24"/>
        </w:rPr>
        <w:t>,</w:t>
      </w:r>
      <w:r w:rsidR="00533741" w:rsidRPr="004B502E">
        <w:rPr>
          <w:rFonts w:ascii="Times New Roman" w:hAnsi="Times New Roman" w:cs="Times New Roman"/>
          <w:sz w:val="24"/>
          <w:szCs w:val="24"/>
        </w:rPr>
        <w:t xml:space="preserve"> </w:t>
      </w:r>
      <w:r w:rsidR="00A47199" w:rsidRPr="004B502E">
        <w:rPr>
          <w:rFonts w:ascii="Times New Roman" w:hAnsi="Times New Roman" w:cs="Times New Roman"/>
          <w:sz w:val="24"/>
          <w:szCs w:val="24"/>
        </w:rPr>
        <w:t>2011</w:t>
      </w:r>
      <w:r w:rsidR="00E1492D" w:rsidRPr="004B502E">
        <w:rPr>
          <w:rFonts w:ascii="Times New Roman" w:hAnsi="Times New Roman" w:cs="Times New Roman"/>
          <w:sz w:val="24"/>
          <w:szCs w:val="24"/>
        </w:rPr>
        <w:t>; Smaoui &amp; Salah</w:t>
      </w:r>
      <w:r w:rsidR="00533741">
        <w:rPr>
          <w:rFonts w:ascii="Times New Roman" w:hAnsi="Times New Roman" w:cs="Times New Roman"/>
          <w:sz w:val="24"/>
          <w:szCs w:val="24"/>
        </w:rPr>
        <w:t>,</w:t>
      </w:r>
      <w:r w:rsidR="00533741" w:rsidRPr="004B502E">
        <w:rPr>
          <w:rFonts w:ascii="Times New Roman" w:hAnsi="Times New Roman" w:cs="Times New Roman"/>
          <w:sz w:val="24"/>
          <w:szCs w:val="24"/>
        </w:rPr>
        <w:t xml:space="preserve"> </w:t>
      </w:r>
      <w:r w:rsidR="00E1492D" w:rsidRPr="004B502E">
        <w:rPr>
          <w:rFonts w:ascii="Times New Roman" w:hAnsi="Times New Roman" w:cs="Times New Roman"/>
          <w:sz w:val="24"/>
          <w:szCs w:val="24"/>
        </w:rPr>
        <w:t>2012</w:t>
      </w:r>
      <w:r w:rsidR="00A47199" w:rsidRPr="004B502E">
        <w:rPr>
          <w:rFonts w:ascii="Times New Roman" w:hAnsi="Times New Roman" w:cs="Times New Roman"/>
          <w:sz w:val="24"/>
          <w:szCs w:val="24"/>
        </w:rPr>
        <w:t xml:space="preserve">) </w:t>
      </w:r>
      <w:r w:rsidR="00EC0465" w:rsidRPr="004B502E">
        <w:rPr>
          <w:rFonts w:ascii="Times New Roman" w:hAnsi="Times New Roman" w:cs="Times New Roman"/>
          <w:sz w:val="24"/>
          <w:szCs w:val="24"/>
        </w:rPr>
        <w:t xml:space="preserve">this </w:t>
      </w:r>
      <w:r w:rsidR="00BD5159" w:rsidRPr="004B502E">
        <w:rPr>
          <w:rFonts w:ascii="Times New Roman" w:hAnsi="Times New Roman" w:cs="Times New Roman"/>
          <w:sz w:val="24"/>
          <w:szCs w:val="24"/>
        </w:rPr>
        <w:t xml:space="preserve">ratio showed a negative effect on </w:t>
      </w:r>
      <w:r w:rsidR="00852351">
        <w:rPr>
          <w:rFonts w:ascii="Times New Roman" w:hAnsi="Times New Roman" w:cs="Times New Roman"/>
          <w:sz w:val="24"/>
          <w:szCs w:val="24"/>
        </w:rPr>
        <w:t>Islamic banks</w:t>
      </w:r>
      <w:r w:rsidR="00BD5159" w:rsidRPr="004B502E">
        <w:rPr>
          <w:rFonts w:ascii="Times New Roman" w:hAnsi="Times New Roman" w:cs="Times New Roman"/>
          <w:sz w:val="24"/>
          <w:szCs w:val="24"/>
        </w:rPr>
        <w:t xml:space="preserve">’ </w:t>
      </w:r>
      <w:r w:rsidR="00675B4F">
        <w:rPr>
          <w:rFonts w:ascii="Times New Roman" w:hAnsi="Times New Roman" w:cs="Times New Roman"/>
          <w:sz w:val="24"/>
          <w:szCs w:val="24"/>
        </w:rPr>
        <w:t>performance</w:t>
      </w:r>
      <w:r w:rsidR="00A47199" w:rsidRPr="004B502E">
        <w:rPr>
          <w:rFonts w:ascii="Times New Roman" w:hAnsi="Times New Roman" w:cs="Times New Roman"/>
          <w:sz w:val="24"/>
          <w:szCs w:val="24"/>
        </w:rPr>
        <w:t xml:space="preserve">. </w:t>
      </w:r>
      <w:r w:rsidR="00BD5159" w:rsidRPr="004B502E">
        <w:rPr>
          <w:rFonts w:ascii="Times New Roman" w:hAnsi="Times New Roman" w:cs="Times New Roman"/>
          <w:sz w:val="24"/>
          <w:szCs w:val="24"/>
        </w:rPr>
        <w:t xml:space="preserve">However, </w:t>
      </w:r>
      <w:r w:rsidR="002E0E92" w:rsidRPr="004B502E">
        <w:rPr>
          <w:rFonts w:ascii="Times New Roman" w:hAnsi="Times New Roman" w:cs="Times New Roman"/>
          <w:sz w:val="24"/>
          <w:szCs w:val="24"/>
        </w:rPr>
        <w:t xml:space="preserve">Bashir (2003), </w:t>
      </w:r>
      <w:r w:rsidR="0024193B" w:rsidRPr="004B502E">
        <w:rPr>
          <w:rFonts w:ascii="Times New Roman" w:hAnsi="Times New Roman" w:cs="Times New Roman"/>
          <w:sz w:val="24"/>
          <w:szCs w:val="24"/>
        </w:rPr>
        <w:t xml:space="preserve">Hassan </w:t>
      </w:r>
      <w:r w:rsidR="006B7968" w:rsidRPr="004B502E">
        <w:rPr>
          <w:rFonts w:ascii="Times New Roman" w:hAnsi="Times New Roman" w:cs="Times New Roman"/>
          <w:sz w:val="24"/>
          <w:szCs w:val="24"/>
        </w:rPr>
        <w:t>and</w:t>
      </w:r>
      <w:r w:rsidR="0024193B" w:rsidRPr="004B502E">
        <w:rPr>
          <w:rFonts w:ascii="Times New Roman" w:hAnsi="Times New Roman" w:cs="Times New Roman"/>
          <w:sz w:val="24"/>
          <w:szCs w:val="24"/>
        </w:rPr>
        <w:t xml:space="preserve"> Bashir (2003),</w:t>
      </w:r>
      <w:r w:rsidR="00C8118F" w:rsidRPr="004B502E">
        <w:rPr>
          <w:rFonts w:ascii="Times New Roman" w:hAnsi="Times New Roman" w:cs="Times New Roman"/>
          <w:sz w:val="24"/>
          <w:szCs w:val="24"/>
        </w:rPr>
        <w:t xml:space="preserve"> Wasiuzzaman </w:t>
      </w:r>
      <w:r w:rsidR="006B7968" w:rsidRPr="004B502E">
        <w:rPr>
          <w:rFonts w:ascii="Times New Roman" w:hAnsi="Times New Roman" w:cs="Times New Roman"/>
          <w:sz w:val="24"/>
          <w:szCs w:val="24"/>
        </w:rPr>
        <w:t>and</w:t>
      </w:r>
      <w:r w:rsidR="00C8118F" w:rsidRPr="004B502E">
        <w:rPr>
          <w:rFonts w:ascii="Times New Roman" w:hAnsi="Times New Roman" w:cs="Times New Roman"/>
          <w:sz w:val="24"/>
          <w:szCs w:val="24"/>
        </w:rPr>
        <w:t xml:space="preserve"> Tarmizi (2010</w:t>
      </w:r>
      <w:r w:rsidR="002E0E92" w:rsidRPr="004B502E">
        <w:rPr>
          <w:rFonts w:ascii="Times New Roman" w:hAnsi="Times New Roman" w:cs="Times New Roman"/>
          <w:sz w:val="24"/>
          <w:szCs w:val="24"/>
        </w:rPr>
        <w:t>)</w:t>
      </w:r>
      <w:r w:rsidR="00533741">
        <w:rPr>
          <w:rFonts w:ascii="Times New Roman" w:hAnsi="Times New Roman" w:cs="Times New Roman"/>
          <w:sz w:val="24"/>
          <w:szCs w:val="24"/>
        </w:rPr>
        <w:t xml:space="preserve">, </w:t>
      </w:r>
      <w:r w:rsidR="0024193B" w:rsidRPr="004B502E">
        <w:rPr>
          <w:rFonts w:ascii="Times New Roman" w:hAnsi="Times New Roman" w:cs="Times New Roman"/>
          <w:sz w:val="24"/>
          <w:szCs w:val="24"/>
        </w:rPr>
        <w:t xml:space="preserve">and </w:t>
      </w:r>
      <w:r w:rsidR="00230F55" w:rsidRPr="004B502E">
        <w:rPr>
          <w:rFonts w:ascii="Times New Roman" w:hAnsi="Times New Roman" w:cs="Times New Roman"/>
          <w:sz w:val="24"/>
          <w:szCs w:val="24"/>
        </w:rPr>
        <w:t>Alkassim</w:t>
      </w:r>
      <w:r w:rsidR="0024193B" w:rsidRPr="004B502E">
        <w:rPr>
          <w:rFonts w:ascii="Times New Roman" w:hAnsi="Times New Roman" w:cs="Times New Roman"/>
          <w:sz w:val="24"/>
          <w:szCs w:val="24"/>
        </w:rPr>
        <w:t xml:space="preserve"> (2005) </w:t>
      </w:r>
      <w:r w:rsidR="00BD5159" w:rsidRPr="004B502E">
        <w:rPr>
          <w:rFonts w:ascii="Times New Roman" w:hAnsi="Times New Roman" w:cs="Times New Roman"/>
          <w:sz w:val="24"/>
          <w:szCs w:val="24"/>
        </w:rPr>
        <w:t xml:space="preserve">found </w:t>
      </w:r>
      <w:r w:rsidR="00533741">
        <w:rPr>
          <w:rFonts w:ascii="Times New Roman" w:hAnsi="Times New Roman" w:cs="Times New Roman"/>
          <w:sz w:val="24"/>
          <w:szCs w:val="24"/>
        </w:rPr>
        <w:t xml:space="preserve">it had </w:t>
      </w:r>
      <w:r w:rsidR="00BD5159" w:rsidRPr="004B502E">
        <w:rPr>
          <w:rFonts w:ascii="Times New Roman" w:hAnsi="Times New Roman" w:cs="Times New Roman"/>
          <w:sz w:val="24"/>
          <w:szCs w:val="24"/>
        </w:rPr>
        <w:t xml:space="preserve">a positive effect </w:t>
      </w:r>
      <w:r w:rsidR="00EC0465" w:rsidRPr="004B502E">
        <w:rPr>
          <w:rFonts w:ascii="Times New Roman" w:hAnsi="Times New Roman" w:cs="Times New Roman"/>
          <w:sz w:val="24"/>
          <w:szCs w:val="24"/>
        </w:rPr>
        <w:t>o</w:t>
      </w:r>
      <w:r w:rsidR="00BD5159" w:rsidRPr="004B502E">
        <w:rPr>
          <w:rFonts w:ascii="Times New Roman" w:hAnsi="Times New Roman" w:cs="Times New Roman"/>
          <w:sz w:val="24"/>
          <w:szCs w:val="24"/>
        </w:rPr>
        <w:t xml:space="preserve">n the performance of </w:t>
      </w:r>
      <w:r w:rsidR="00852351">
        <w:rPr>
          <w:rFonts w:ascii="Times New Roman" w:hAnsi="Times New Roman" w:cs="Times New Roman"/>
          <w:sz w:val="24"/>
          <w:szCs w:val="24"/>
        </w:rPr>
        <w:t>Islamic banks</w:t>
      </w:r>
      <w:r w:rsidR="00BD5159" w:rsidRPr="004B502E">
        <w:rPr>
          <w:rFonts w:ascii="Times New Roman" w:hAnsi="Times New Roman" w:cs="Times New Roman"/>
          <w:sz w:val="24"/>
          <w:szCs w:val="24"/>
        </w:rPr>
        <w:t xml:space="preserve">. </w:t>
      </w:r>
    </w:p>
    <w:p w:rsidR="0024193B" w:rsidRPr="004B502E" w:rsidRDefault="0085681F" w:rsidP="005A57B8">
      <w:pPr>
        <w:spacing w:line="480" w:lineRule="auto"/>
        <w:ind w:firstLine="720"/>
        <w:rPr>
          <w:rFonts w:ascii="Times New Roman" w:hAnsi="Times New Roman" w:cs="Times New Roman"/>
          <w:sz w:val="24"/>
          <w:szCs w:val="24"/>
        </w:rPr>
      </w:pPr>
      <w:r w:rsidRPr="004B502E">
        <w:rPr>
          <w:rFonts w:ascii="Times New Roman" w:hAnsi="Times New Roman" w:cs="Times New Roman"/>
          <w:sz w:val="24"/>
          <w:szCs w:val="24"/>
        </w:rPr>
        <w:t xml:space="preserve">Considering that </w:t>
      </w:r>
      <w:r w:rsidR="0024193B" w:rsidRPr="004B502E">
        <w:rPr>
          <w:rFonts w:ascii="Times New Roman" w:hAnsi="Times New Roman" w:cs="Times New Roman"/>
          <w:sz w:val="24"/>
          <w:szCs w:val="24"/>
        </w:rPr>
        <w:t xml:space="preserve">the main share of </w:t>
      </w:r>
      <w:r w:rsidR="00852351">
        <w:rPr>
          <w:rFonts w:ascii="Times New Roman" w:hAnsi="Times New Roman" w:cs="Times New Roman"/>
          <w:sz w:val="24"/>
          <w:szCs w:val="24"/>
        </w:rPr>
        <w:t>Islamic banks</w:t>
      </w:r>
      <w:r w:rsidR="0024193B" w:rsidRPr="004B502E">
        <w:rPr>
          <w:rFonts w:ascii="Times New Roman" w:hAnsi="Times New Roman" w:cs="Times New Roman"/>
          <w:sz w:val="24"/>
          <w:szCs w:val="24"/>
        </w:rPr>
        <w:t xml:space="preserve">’ profits </w:t>
      </w:r>
      <w:r w:rsidR="00FF1D79" w:rsidRPr="004B502E">
        <w:rPr>
          <w:rFonts w:ascii="Times New Roman" w:hAnsi="Times New Roman" w:cs="Times New Roman"/>
          <w:sz w:val="24"/>
          <w:szCs w:val="24"/>
        </w:rPr>
        <w:t>comes</w:t>
      </w:r>
      <w:r w:rsidRPr="004B502E">
        <w:rPr>
          <w:rFonts w:ascii="Times New Roman" w:hAnsi="Times New Roman" w:cs="Times New Roman"/>
          <w:sz w:val="24"/>
          <w:szCs w:val="24"/>
        </w:rPr>
        <w:t xml:space="preserve"> from the </w:t>
      </w:r>
      <w:r w:rsidR="00BD5159" w:rsidRPr="004B502E">
        <w:rPr>
          <w:rFonts w:ascii="Times New Roman" w:hAnsi="Times New Roman" w:cs="Times New Roman"/>
          <w:sz w:val="24"/>
          <w:szCs w:val="24"/>
        </w:rPr>
        <w:t xml:space="preserve">PLS </w:t>
      </w:r>
      <w:r w:rsidR="002A2224">
        <w:rPr>
          <w:rFonts w:ascii="Times New Roman" w:hAnsi="Times New Roman" w:cs="Times New Roman"/>
          <w:sz w:val="24"/>
          <w:szCs w:val="24"/>
        </w:rPr>
        <w:t>loans, we expect</w:t>
      </w:r>
      <w:r w:rsidRPr="004B502E">
        <w:rPr>
          <w:rFonts w:ascii="Times New Roman" w:hAnsi="Times New Roman" w:cs="Times New Roman"/>
          <w:sz w:val="24"/>
          <w:szCs w:val="24"/>
        </w:rPr>
        <w:t xml:space="preserve"> this ratio to positively affect the performance of </w:t>
      </w:r>
      <w:r w:rsidR="00852351">
        <w:rPr>
          <w:rFonts w:ascii="Times New Roman" w:hAnsi="Times New Roman" w:cs="Times New Roman"/>
          <w:sz w:val="24"/>
          <w:szCs w:val="24"/>
        </w:rPr>
        <w:t>Islamic banks</w:t>
      </w:r>
      <w:r w:rsidRPr="004B502E">
        <w:rPr>
          <w:rFonts w:ascii="Times New Roman" w:hAnsi="Times New Roman" w:cs="Times New Roman"/>
          <w:sz w:val="24"/>
          <w:szCs w:val="24"/>
        </w:rPr>
        <w:t xml:space="preserve">. </w:t>
      </w:r>
      <w:r w:rsidR="00D06CEE" w:rsidRPr="004B502E">
        <w:rPr>
          <w:rFonts w:ascii="Times New Roman" w:hAnsi="Times New Roman" w:cs="Times New Roman"/>
          <w:sz w:val="24"/>
          <w:szCs w:val="24"/>
        </w:rPr>
        <w:t>This ratio will be</w:t>
      </w:r>
      <w:r w:rsidR="00FF1D79" w:rsidRPr="004B502E">
        <w:rPr>
          <w:rFonts w:ascii="Times New Roman" w:hAnsi="Times New Roman" w:cs="Times New Roman"/>
          <w:sz w:val="24"/>
          <w:szCs w:val="24"/>
        </w:rPr>
        <w:t xml:space="preserve"> added to the analysis as </w:t>
      </w:r>
      <w:r w:rsidR="003128A8" w:rsidRPr="004B502E">
        <w:rPr>
          <w:rFonts w:ascii="Times New Roman" w:hAnsi="Times New Roman" w:cs="Times New Roman"/>
          <w:sz w:val="24"/>
          <w:szCs w:val="24"/>
        </w:rPr>
        <w:t xml:space="preserve">an </w:t>
      </w:r>
      <w:r w:rsidR="00FF1D79" w:rsidRPr="004B502E">
        <w:rPr>
          <w:rFonts w:ascii="Times New Roman" w:hAnsi="Times New Roman" w:cs="Times New Roman"/>
          <w:sz w:val="24"/>
          <w:szCs w:val="24"/>
        </w:rPr>
        <w:t xml:space="preserve">independent variable, because </w:t>
      </w:r>
      <w:r w:rsidR="00852351">
        <w:rPr>
          <w:rFonts w:ascii="Times New Roman" w:hAnsi="Times New Roman" w:cs="Times New Roman"/>
          <w:sz w:val="24"/>
          <w:szCs w:val="24"/>
        </w:rPr>
        <w:t>Islamic banks</w:t>
      </w:r>
      <w:r w:rsidR="00FF1D79" w:rsidRPr="004B502E">
        <w:rPr>
          <w:rFonts w:ascii="Times New Roman" w:hAnsi="Times New Roman" w:cs="Times New Roman"/>
          <w:sz w:val="24"/>
          <w:szCs w:val="24"/>
        </w:rPr>
        <w:t xml:space="preserve"> </w:t>
      </w:r>
      <w:r w:rsidR="00533741" w:rsidRPr="004B502E">
        <w:rPr>
          <w:rFonts w:ascii="Times New Roman" w:hAnsi="Times New Roman" w:cs="Times New Roman"/>
          <w:sz w:val="24"/>
          <w:szCs w:val="24"/>
        </w:rPr>
        <w:t>rely</w:t>
      </w:r>
      <w:r w:rsidR="00533741">
        <w:rPr>
          <w:rFonts w:ascii="Times New Roman" w:hAnsi="Times New Roman" w:cs="Times New Roman"/>
          <w:sz w:val="24"/>
          <w:szCs w:val="24"/>
        </w:rPr>
        <w:t xml:space="preserve"> </w:t>
      </w:r>
      <w:r w:rsidR="00FF1D79" w:rsidRPr="004B502E">
        <w:rPr>
          <w:rFonts w:ascii="Times New Roman" w:hAnsi="Times New Roman" w:cs="Times New Roman"/>
          <w:sz w:val="24"/>
          <w:szCs w:val="24"/>
        </w:rPr>
        <w:t>highly on PLS loans</w:t>
      </w:r>
      <w:r w:rsidR="00A11154" w:rsidRPr="004B502E">
        <w:rPr>
          <w:rFonts w:ascii="Times New Roman" w:hAnsi="Times New Roman" w:cs="Times New Roman"/>
          <w:sz w:val="24"/>
          <w:szCs w:val="24"/>
        </w:rPr>
        <w:t>,</w:t>
      </w:r>
      <w:r w:rsidR="00FF1D79" w:rsidRPr="004B502E">
        <w:rPr>
          <w:rFonts w:ascii="Times New Roman" w:hAnsi="Times New Roman" w:cs="Times New Roman"/>
          <w:sz w:val="24"/>
          <w:szCs w:val="24"/>
        </w:rPr>
        <w:t xml:space="preserve"> and as </w:t>
      </w:r>
      <w:r w:rsidR="00533741">
        <w:rPr>
          <w:rFonts w:ascii="Times New Roman" w:hAnsi="Times New Roman" w:cs="Times New Roman"/>
          <w:sz w:val="24"/>
          <w:szCs w:val="24"/>
        </w:rPr>
        <w:t>q</w:t>
      </w:r>
      <w:r w:rsidR="00533741" w:rsidRPr="004B502E">
        <w:rPr>
          <w:rFonts w:ascii="Times New Roman" w:hAnsi="Times New Roman" w:cs="Times New Roman"/>
          <w:sz w:val="24"/>
          <w:szCs w:val="24"/>
        </w:rPr>
        <w:t xml:space="preserve"> profit</w:t>
      </w:r>
      <w:r w:rsidR="00533741">
        <w:rPr>
          <w:rFonts w:ascii="Times New Roman" w:hAnsi="Times New Roman" w:cs="Times New Roman"/>
          <w:sz w:val="24"/>
          <w:szCs w:val="24"/>
        </w:rPr>
        <w:t>-</w:t>
      </w:r>
      <w:r w:rsidR="00FF1D79" w:rsidRPr="004B502E">
        <w:rPr>
          <w:rFonts w:ascii="Times New Roman" w:hAnsi="Times New Roman" w:cs="Times New Roman"/>
          <w:sz w:val="24"/>
          <w:szCs w:val="24"/>
        </w:rPr>
        <w:t xml:space="preserve">sharing instrument, </w:t>
      </w:r>
      <w:r w:rsidR="00533741">
        <w:rPr>
          <w:rFonts w:ascii="Times New Roman" w:hAnsi="Times New Roman" w:cs="Times New Roman"/>
          <w:sz w:val="24"/>
          <w:szCs w:val="24"/>
        </w:rPr>
        <w:t xml:space="preserve">the </w:t>
      </w:r>
      <w:r w:rsidR="00FF1D79" w:rsidRPr="004B502E">
        <w:rPr>
          <w:rFonts w:ascii="Times New Roman" w:hAnsi="Times New Roman" w:cs="Times New Roman"/>
          <w:sz w:val="24"/>
          <w:szCs w:val="24"/>
        </w:rPr>
        <w:t>success of those loans affect</w:t>
      </w:r>
      <w:r w:rsidR="00A11154" w:rsidRPr="004B502E">
        <w:rPr>
          <w:rFonts w:ascii="Times New Roman" w:hAnsi="Times New Roman" w:cs="Times New Roman"/>
          <w:sz w:val="24"/>
          <w:szCs w:val="24"/>
        </w:rPr>
        <w:t>s</w:t>
      </w:r>
      <w:r w:rsidR="00FF1D79" w:rsidRPr="004B502E">
        <w:rPr>
          <w:rFonts w:ascii="Times New Roman" w:hAnsi="Times New Roman" w:cs="Times New Roman"/>
          <w:sz w:val="24"/>
          <w:szCs w:val="24"/>
        </w:rPr>
        <w:t xml:space="preserve"> the performance of </w:t>
      </w:r>
      <w:r w:rsidR="00852351">
        <w:rPr>
          <w:rFonts w:ascii="Times New Roman" w:hAnsi="Times New Roman" w:cs="Times New Roman"/>
          <w:sz w:val="24"/>
          <w:szCs w:val="24"/>
        </w:rPr>
        <w:t>Islamic banks</w:t>
      </w:r>
      <w:r w:rsidR="00FF1D79" w:rsidRPr="004B502E">
        <w:rPr>
          <w:rFonts w:ascii="Times New Roman" w:hAnsi="Times New Roman" w:cs="Times New Roman"/>
          <w:sz w:val="24"/>
          <w:szCs w:val="24"/>
        </w:rPr>
        <w:t>.</w:t>
      </w:r>
      <w:r w:rsidR="002E0E92" w:rsidRPr="004B502E">
        <w:rPr>
          <w:rFonts w:ascii="Times New Roman" w:hAnsi="Times New Roman" w:cs="Times New Roman"/>
          <w:sz w:val="24"/>
          <w:szCs w:val="24"/>
        </w:rPr>
        <w:t xml:space="preserve"> </w:t>
      </w:r>
    </w:p>
    <w:p w:rsidR="00B151DD" w:rsidRPr="004B502E" w:rsidRDefault="00715C6A" w:rsidP="005A57B8">
      <w:pPr>
        <w:spacing w:line="480" w:lineRule="auto"/>
        <w:ind w:firstLine="720"/>
        <w:rPr>
          <w:rFonts w:ascii="Times New Roman" w:hAnsi="Times New Roman" w:cs="Times New Roman"/>
          <w:sz w:val="24"/>
          <w:szCs w:val="24"/>
        </w:rPr>
      </w:pPr>
      <w:r w:rsidRPr="004B502E">
        <w:rPr>
          <w:rFonts w:ascii="Times New Roman" w:hAnsi="Times New Roman" w:cs="Times New Roman"/>
          <w:b/>
          <w:sz w:val="24"/>
          <w:szCs w:val="24"/>
        </w:rPr>
        <w:t>E</w:t>
      </w:r>
      <w:r w:rsidR="00A94BFB" w:rsidRPr="004B502E">
        <w:rPr>
          <w:rFonts w:ascii="Times New Roman" w:hAnsi="Times New Roman" w:cs="Times New Roman"/>
          <w:b/>
          <w:sz w:val="24"/>
          <w:szCs w:val="24"/>
        </w:rPr>
        <w:t>fficiency ratio</w:t>
      </w:r>
      <w:r w:rsidRPr="004B502E">
        <w:rPr>
          <w:rFonts w:ascii="Times New Roman" w:hAnsi="Times New Roman" w:cs="Times New Roman"/>
          <w:b/>
          <w:sz w:val="24"/>
          <w:szCs w:val="24"/>
        </w:rPr>
        <w:t>s</w:t>
      </w:r>
      <w:r w:rsidR="00B151DD" w:rsidRPr="004B502E">
        <w:rPr>
          <w:rFonts w:ascii="Times New Roman" w:hAnsi="Times New Roman" w:cs="Times New Roman"/>
          <w:sz w:val="24"/>
          <w:szCs w:val="24"/>
        </w:rPr>
        <w:t xml:space="preserve"> </w:t>
      </w:r>
      <w:r w:rsidRPr="004B502E">
        <w:rPr>
          <w:rFonts w:ascii="Times New Roman" w:hAnsi="Times New Roman" w:cs="Times New Roman"/>
          <w:sz w:val="24"/>
          <w:szCs w:val="24"/>
        </w:rPr>
        <w:t>measure</w:t>
      </w:r>
      <w:r w:rsidR="00EC0465" w:rsidRPr="004B502E">
        <w:rPr>
          <w:rFonts w:ascii="Times New Roman" w:hAnsi="Times New Roman" w:cs="Times New Roman"/>
          <w:sz w:val="24"/>
          <w:szCs w:val="24"/>
        </w:rPr>
        <w:t xml:space="preserve"> the efficiency of banking operations by ana</w:t>
      </w:r>
      <w:r w:rsidRPr="004B502E">
        <w:rPr>
          <w:rFonts w:ascii="Times New Roman" w:hAnsi="Times New Roman" w:cs="Times New Roman"/>
          <w:sz w:val="24"/>
          <w:szCs w:val="24"/>
        </w:rPr>
        <w:t>lyzing bank</w:t>
      </w:r>
      <w:r w:rsidR="00EC0465" w:rsidRPr="004B502E">
        <w:rPr>
          <w:rFonts w:ascii="Times New Roman" w:hAnsi="Times New Roman" w:cs="Times New Roman"/>
          <w:sz w:val="24"/>
          <w:szCs w:val="24"/>
        </w:rPr>
        <w:t xml:space="preserve"> expenses. </w:t>
      </w:r>
      <w:r w:rsidRPr="004B502E">
        <w:rPr>
          <w:rFonts w:ascii="Times New Roman" w:hAnsi="Times New Roman" w:cs="Times New Roman"/>
          <w:sz w:val="24"/>
          <w:szCs w:val="24"/>
        </w:rPr>
        <w:t>In this study, as the proxy for operational efficiency</w:t>
      </w:r>
      <w:r w:rsidR="00533741">
        <w:rPr>
          <w:rFonts w:ascii="Times New Roman" w:hAnsi="Times New Roman" w:cs="Times New Roman"/>
          <w:sz w:val="24"/>
          <w:szCs w:val="24"/>
        </w:rPr>
        <w:t>,</w:t>
      </w:r>
      <w:r w:rsidRPr="004B502E">
        <w:rPr>
          <w:rFonts w:ascii="Times New Roman" w:hAnsi="Times New Roman" w:cs="Times New Roman"/>
          <w:sz w:val="24"/>
          <w:szCs w:val="24"/>
        </w:rPr>
        <w:t xml:space="preserve"> we will use the </w:t>
      </w:r>
      <w:r w:rsidR="005434EB" w:rsidRPr="004B502E">
        <w:rPr>
          <w:rFonts w:ascii="Times New Roman" w:hAnsi="Times New Roman" w:cs="Times New Roman"/>
          <w:sz w:val="24"/>
          <w:szCs w:val="24"/>
        </w:rPr>
        <w:t xml:space="preserve">ratio of operating </w:t>
      </w:r>
      <w:r w:rsidR="00CC7052" w:rsidRPr="004B502E">
        <w:rPr>
          <w:rFonts w:ascii="Times New Roman" w:hAnsi="Times New Roman" w:cs="Times New Roman"/>
          <w:sz w:val="24"/>
          <w:szCs w:val="24"/>
        </w:rPr>
        <w:t>expenses to</w:t>
      </w:r>
      <w:r w:rsidR="00B151DD" w:rsidRPr="004B502E">
        <w:rPr>
          <w:rFonts w:ascii="Times New Roman" w:hAnsi="Times New Roman" w:cs="Times New Roman"/>
          <w:sz w:val="24"/>
          <w:szCs w:val="24"/>
        </w:rPr>
        <w:t xml:space="preserve"> total assets</w:t>
      </w:r>
      <w:r w:rsidRPr="004B502E">
        <w:rPr>
          <w:rFonts w:ascii="Times New Roman" w:hAnsi="Times New Roman" w:cs="Times New Roman"/>
          <w:sz w:val="24"/>
          <w:szCs w:val="24"/>
        </w:rPr>
        <w:t xml:space="preserve"> (</w:t>
      </w:r>
      <w:r w:rsidR="00F73581" w:rsidRPr="004B502E">
        <w:rPr>
          <w:rFonts w:ascii="Times New Roman" w:hAnsi="Times New Roman" w:cs="Times New Roman"/>
          <w:sz w:val="24"/>
          <w:szCs w:val="24"/>
        </w:rPr>
        <w:t xml:space="preserve">total </w:t>
      </w:r>
      <w:r w:rsidRPr="004B502E">
        <w:rPr>
          <w:rFonts w:ascii="Times New Roman" w:hAnsi="Times New Roman" w:cs="Times New Roman"/>
          <w:sz w:val="24"/>
          <w:szCs w:val="24"/>
        </w:rPr>
        <w:t>operating expenses/total assets</w:t>
      </w:r>
      <w:r w:rsidR="00B151DD" w:rsidRPr="004B502E">
        <w:rPr>
          <w:rFonts w:ascii="Times New Roman" w:hAnsi="Times New Roman" w:cs="Times New Roman"/>
          <w:sz w:val="24"/>
          <w:szCs w:val="24"/>
        </w:rPr>
        <w:t>)</w:t>
      </w:r>
      <w:r w:rsidRPr="004B502E">
        <w:rPr>
          <w:rFonts w:ascii="Times New Roman" w:hAnsi="Times New Roman" w:cs="Times New Roman"/>
          <w:sz w:val="24"/>
          <w:szCs w:val="24"/>
        </w:rPr>
        <w:t>. This ratio</w:t>
      </w:r>
      <w:r w:rsidR="00B151DD" w:rsidRPr="004B502E">
        <w:rPr>
          <w:rFonts w:ascii="Times New Roman" w:hAnsi="Times New Roman" w:cs="Times New Roman"/>
          <w:sz w:val="24"/>
          <w:szCs w:val="24"/>
        </w:rPr>
        <w:t xml:space="preserve"> represents the level of expenses associated </w:t>
      </w:r>
      <w:r w:rsidR="00BD5159" w:rsidRPr="004B502E">
        <w:rPr>
          <w:rFonts w:ascii="Times New Roman" w:hAnsi="Times New Roman" w:cs="Times New Roman"/>
          <w:sz w:val="24"/>
          <w:szCs w:val="24"/>
        </w:rPr>
        <w:t>with banking operations and</w:t>
      </w:r>
      <w:r w:rsidR="00B151DD" w:rsidRPr="004B502E">
        <w:rPr>
          <w:rFonts w:ascii="Times New Roman" w:hAnsi="Times New Roman" w:cs="Times New Roman"/>
          <w:sz w:val="24"/>
          <w:szCs w:val="24"/>
        </w:rPr>
        <w:t xml:space="preserve"> </w:t>
      </w:r>
      <w:r w:rsidR="001B27F0" w:rsidRPr="004B502E">
        <w:rPr>
          <w:rFonts w:ascii="Times New Roman" w:hAnsi="Times New Roman" w:cs="Times New Roman"/>
          <w:sz w:val="24"/>
          <w:szCs w:val="24"/>
        </w:rPr>
        <w:t>the share of those expenses in total banking assets</w:t>
      </w:r>
      <w:r w:rsidR="00A94BFB" w:rsidRPr="004B502E">
        <w:rPr>
          <w:rFonts w:ascii="Times New Roman" w:hAnsi="Times New Roman" w:cs="Times New Roman"/>
          <w:sz w:val="24"/>
          <w:szCs w:val="24"/>
        </w:rPr>
        <w:t>. It is expected that the high</w:t>
      </w:r>
      <w:r w:rsidR="001B27F0" w:rsidRPr="004B502E">
        <w:rPr>
          <w:rFonts w:ascii="Times New Roman" w:hAnsi="Times New Roman" w:cs="Times New Roman"/>
          <w:sz w:val="24"/>
          <w:szCs w:val="24"/>
        </w:rPr>
        <w:t xml:space="preserve"> expense ratio would lower performance, because the </w:t>
      </w:r>
      <w:r w:rsidR="00533741">
        <w:rPr>
          <w:rFonts w:ascii="Times New Roman" w:hAnsi="Times New Roman" w:cs="Times New Roman"/>
          <w:sz w:val="24"/>
          <w:szCs w:val="24"/>
        </w:rPr>
        <w:t>lar</w:t>
      </w:r>
      <w:r w:rsidR="00533741" w:rsidRPr="004B502E">
        <w:rPr>
          <w:rFonts w:ascii="Times New Roman" w:hAnsi="Times New Roman" w:cs="Times New Roman"/>
          <w:sz w:val="24"/>
          <w:szCs w:val="24"/>
        </w:rPr>
        <w:t xml:space="preserve">ger </w:t>
      </w:r>
      <w:r w:rsidR="001B27F0" w:rsidRPr="004B502E">
        <w:rPr>
          <w:rFonts w:ascii="Times New Roman" w:hAnsi="Times New Roman" w:cs="Times New Roman"/>
          <w:sz w:val="24"/>
          <w:szCs w:val="24"/>
        </w:rPr>
        <w:t xml:space="preserve">part of the performance </w:t>
      </w:r>
      <w:r w:rsidR="00026D61" w:rsidRPr="004B502E">
        <w:rPr>
          <w:rFonts w:ascii="Times New Roman" w:hAnsi="Times New Roman" w:cs="Times New Roman"/>
          <w:sz w:val="24"/>
          <w:szCs w:val="24"/>
        </w:rPr>
        <w:t>indicator, income, would be spent as</w:t>
      </w:r>
      <w:r w:rsidRPr="004B502E">
        <w:rPr>
          <w:rFonts w:ascii="Times New Roman" w:hAnsi="Times New Roman" w:cs="Times New Roman"/>
          <w:sz w:val="24"/>
          <w:szCs w:val="24"/>
        </w:rPr>
        <w:t xml:space="preserve"> expenses.</w:t>
      </w:r>
      <w:r w:rsidR="001B27F0" w:rsidRPr="004B502E">
        <w:rPr>
          <w:rFonts w:ascii="Times New Roman" w:hAnsi="Times New Roman" w:cs="Times New Roman"/>
          <w:sz w:val="24"/>
          <w:szCs w:val="24"/>
        </w:rPr>
        <w:t xml:space="preserve"> </w:t>
      </w:r>
      <w:r w:rsidR="00216386" w:rsidRPr="004B502E">
        <w:rPr>
          <w:rFonts w:ascii="Times New Roman" w:hAnsi="Times New Roman" w:cs="Times New Roman"/>
          <w:sz w:val="24"/>
          <w:szCs w:val="24"/>
        </w:rPr>
        <w:t xml:space="preserve">Simultaneously, as suggested by </w:t>
      </w:r>
      <w:r w:rsidR="00BC315F" w:rsidRPr="004B502E">
        <w:rPr>
          <w:rFonts w:ascii="Times New Roman" w:hAnsi="Times New Roman" w:cs="Times New Roman"/>
          <w:sz w:val="24"/>
          <w:szCs w:val="24"/>
        </w:rPr>
        <w:t>Kok</w:t>
      </w:r>
      <w:r w:rsidR="00216386" w:rsidRPr="004B502E">
        <w:rPr>
          <w:rFonts w:ascii="Times New Roman" w:hAnsi="Times New Roman" w:cs="Times New Roman"/>
          <w:sz w:val="24"/>
          <w:szCs w:val="24"/>
        </w:rPr>
        <w:t xml:space="preserve"> et al. (2012), high </w:t>
      </w:r>
      <w:r w:rsidR="00BD5159" w:rsidRPr="004B502E">
        <w:rPr>
          <w:rFonts w:ascii="Times New Roman" w:hAnsi="Times New Roman" w:cs="Times New Roman"/>
          <w:sz w:val="24"/>
          <w:szCs w:val="24"/>
        </w:rPr>
        <w:t>expenses (e.g.</w:t>
      </w:r>
      <w:r w:rsidR="00026D61" w:rsidRPr="004B502E">
        <w:rPr>
          <w:rFonts w:ascii="Times New Roman" w:hAnsi="Times New Roman" w:cs="Times New Roman"/>
          <w:sz w:val="24"/>
          <w:szCs w:val="24"/>
        </w:rPr>
        <w:t xml:space="preserve">, </w:t>
      </w:r>
      <w:r w:rsidR="00216386" w:rsidRPr="004B502E">
        <w:rPr>
          <w:rFonts w:ascii="Times New Roman" w:hAnsi="Times New Roman" w:cs="Times New Roman"/>
          <w:sz w:val="24"/>
          <w:szCs w:val="24"/>
        </w:rPr>
        <w:t>payroll expenses</w:t>
      </w:r>
      <w:r w:rsidR="00026D61" w:rsidRPr="004B502E">
        <w:rPr>
          <w:rFonts w:ascii="Times New Roman" w:hAnsi="Times New Roman" w:cs="Times New Roman"/>
          <w:sz w:val="24"/>
          <w:szCs w:val="24"/>
        </w:rPr>
        <w:t>)</w:t>
      </w:r>
      <w:r w:rsidR="00216386" w:rsidRPr="004B502E">
        <w:rPr>
          <w:rFonts w:ascii="Times New Roman" w:hAnsi="Times New Roman" w:cs="Times New Roman"/>
          <w:sz w:val="24"/>
          <w:szCs w:val="24"/>
        </w:rPr>
        <w:t xml:space="preserve"> could lead to higher operational productivity</w:t>
      </w:r>
      <w:r w:rsidR="004C0E38" w:rsidRPr="004B502E">
        <w:rPr>
          <w:rFonts w:ascii="Times New Roman" w:hAnsi="Times New Roman" w:cs="Times New Roman"/>
          <w:sz w:val="24"/>
          <w:szCs w:val="24"/>
        </w:rPr>
        <w:t>.</w:t>
      </w:r>
      <w:r w:rsidR="00FF483E" w:rsidRPr="004B502E">
        <w:rPr>
          <w:rFonts w:ascii="Times New Roman" w:hAnsi="Times New Roman" w:cs="Times New Roman"/>
          <w:sz w:val="24"/>
          <w:szCs w:val="24"/>
        </w:rPr>
        <w:t xml:space="preserve"> </w:t>
      </w:r>
      <w:r w:rsidR="00026D61" w:rsidRPr="004B502E">
        <w:rPr>
          <w:rFonts w:ascii="Times New Roman" w:hAnsi="Times New Roman" w:cs="Times New Roman"/>
          <w:sz w:val="24"/>
          <w:szCs w:val="24"/>
        </w:rPr>
        <w:t>At the same time, high salary expenses could decrease profits if they do not increase the performance within the bank (</w:t>
      </w:r>
      <w:r w:rsidR="00517800" w:rsidRPr="004B502E">
        <w:rPr>
          <w:rFonts w:ascii="Times New Roman" w:hAnsi="Times New Roman" w:cs="Times New Roman"/>
          <w:sz w:val="24"/>
          <w:szCs w:val="24"/>
        </w:rPr>
        <w:t xml:space="preserve">Al-Tamimi, 2010). </w:t>
      </w:r>
      <w:r w:rsidR="00DC47CC" w:rsidRPr="004B502E">
        <w:rPr>
          <w:rFonts w:ascii="Times New Roman" w:hAnsi="Times New Roman" w:cs="Times New Roman"/>
          <w:sz w:val="24"/>
          <w:szCs w:val="24"/>
        </w:rPr>
        <w:t xml:space="preserve">Hidayat </w:t>
      </w:r>
      <w:r w:rsidR="006B7968" w:rsidRPr="004B502E">
        <w:rPr>
          <w:rFonts w:ascii="Times New Roman" w:hAnsi="Times New Roman" w:cs="Times New Roman"/>
          <w:sz w:val="24"/>
          <w:szCs w:val="24"/>
        </w:rPr>
        <w:t>and</w:t>
      </w:r>
      <w:r w:rsidR="00DC47CC" w:rsidRPr="004B502E">
        <w:rPr>
          <w:rFonts w:ascii="Times New Roman" w:hAnsi="Times New Roman" w:cs="Times New Roman"/>
          <w:sz w:val="24"/>
          <w:szCs w:val="24"/>
        </w:rPr>
        <w:t xml:space="preserve"> Abduh (2012) </w:t>
      </w:r>
      <w:r w:rsidR="002F282D" w:rsidRPr="004B502E">
        <w:rPr>
          <w:rFonts w:ascii="Times New Roman" w:hAnsi="Times New Roman" w:cs="Times New Roman"/>
          <w:sz w:val="24"/>
          <w:szCs w:val="24"/>
        </w:rPr>
        <w:t xml:space="preserve">found </w:t>
      </w:r>
      <w:r w:rsidR="00DC47CC" w:rsidRPr="004B502E">
        <w:rPr>
          <w:rFonts w:ascii="Times New Roman" w:hAnsi="Times New Roman" w:cs="Times New Roman"/>
          <w:sz w:val="24"/>
          <w:szCs w:val="24"/>
        </w:rPr>
        <w:t xml:space="preserve">a negative effect of </w:t>
      </w:r>
      <w:r w:rsidR="006F6C57" w:rsidRPr="004B502E">
        <w:rPr>
          <w:rFonts w:ascii="Times New Roman" w:hAnsi="Times New Roman" w:cs="Times New Roman"/>
          <w:sz w:val="24"/>
          <w:szCs w:val="24"/>
        </w:rPr>
        <w:t xml:space="preserve">funds use management ratio on the performance of </w:t>
      </w:r>
      <w:r w:rsidR="00DC47CC" w:rsidRPr="004B502E">
        <w:rPr>
          <w:rFonts w:ascii="Times New Roman" w:hAnsi="Times New Roman" w:cs="Times New Roman"/>
          <w:sz w:val="24"/>
          <w:szCs w:val="24"/>
        </w:rPr>
        <w:t xml:space="preserve">Bahraini </w:t>
      </w:r>
      <w:r w:rsidR="00852351">
        <w:rPr>
          <w:rFonts w:ascii="Times New Roman" w:hAnsi="Times New Roman" w:cs="Times New Roman"/>
          <w:sz w:val="24"/>
          <w:szCs w:val="24"/>
        </w:rPr>
        <w:t>Islamic banks</w:t>
      </w:r>
      <w:r w:rsidR="006F6C57" w:rsidRPr="004B502E">
        <w:rPr>
          <w:rFonts w:ascii="Times New Roman" w:hAnsi="Times New Roman" w:cs="Times New Roman"/>
          <w:sz w:val="24"/>
          <w:szCs w:val="24"/>
        </w:rPr>
        <w:t xml:space="preserve">. </w:t>
      </w:r>
      <w:r w:rsidR="00BD5159" w:rsidRPr="004B502E">
        <w:rPr>
          <w:rFonts w:ascii="Times New Roman" w:hAnsi="Times New Roman" w:cs="Times New Roman"/>
          <w:sz w:val="24"/>
          <w:szCs w:val="24"/>
        </w:rPr>
        <w:t>The same impact is expected in the present study</w:t>
      </w:r>
      <w:r w:rsidR="006F6C57" w:rsidRPr="004B502E">
        <w:rPr>
          <w:rFonts w:ascii="Times New Roman" w:hAnsi="Times New Roman" w:cs="Times New Roman"/>
          <w:sz w:val="24"/>
          <w:szCs w:val="24"/>
        </w:rPr>
        <w:t xml:space="preserve">. </w:t>
      </w:r>
      <w:r w:rsidR="00DC47CC" w:rsidRPr="004B502E">
        <w:rPr>
          <w:rFonts w:ascii="Times New Roman" w:hAnsi="Times New Roman" w:cs="Times New Roman"/>
          <w:sz w:val="24"/>
          <w:szCs w:val="24"/>
        </w:rPr>
        <w:t xml:space="preserve">This ratio </w:t>
      </w:r>
      <w:r w:rsidR="00D06CEE" w:rsidRPr="004B502E">
        <w:rPr>
          <w:rFonts w:ascii="Times New Roman" w:hAnsi="Times New Roman" w:cs="Times New Roman"/>
          <w:sz w:val="24"/>
          <w:szCs w:val="24"/>
        </w:rPr>
        <w:t xml:space="preserve">will be </w:t>
      </w:r>
      <w:r w:rsidR="00DC47CC" w:rsidRPr="004B502E">
        <w:rPr>
          <w:rFonts w:ascii="Times New Roman" w:hAnsi="Times New Roman" w:cs="Times New Roman"/>
          <w:sz w:val="24"/>
          <w:szCs w:val="24"/>
        </w:rPr>
        <w:t>included in the analysis because</w:t>
      </w:r>
      <w:r w:rsidR="002F282D" w:rsidRPr="004B502E">
        <w:rPr>
          <w:rFonts w:ascii="Times New Roman" w:hAnsi="Times New Roman" w:cs="Times New Roman"/>
          <w:sz w:val="24"/>
          <w:szCs w:val="24"/>
        </w:rPr>
        <w:t>,</w:t>
      </w:r>
      <w:r w:rsidRPr="004B502E">
        <w:rPr>
          <w:rFonts w:ascii="Times New Roman" w:hAnsi="Times New Roman" w:cs="Times New Roman"/>
          <w:sz w:val="24"/>
          <w:szCs w:val="24"/>
        </w:rPr>
        <w:t xml:space="preserve"> as </w:t>
      </w:r>
      <w:r w:rsidR="00533741">
        <w:rPr>
          <w:rFonts w:ascii="Times New Roman" w:hAnsi="Times New Roman" w:cs="Times New Roman"/>
          <w:sz w:val="24"/>
          <w:szCs w:val="24"/>
        </w:rPr>
        <w:t>an</w:t>
      </w:r>
      <w:r w:rsidR="00533741" w:rsidRPr="004B502E">
        <w:rPr>
          <w:rFonts w:ascii="Times New Roman" w:hAnsi="Times New Roman" w:cs="Times New Roman"/>
          <w:sz w:val="24"/>
          <w:szCs w:val="24"/>
        </w:rPr>
        <w:t xml:space="preserve"> </w:t>
      </w:r>
      <w:r w:rsidRPr="004B502E">
        <w:rPr>
          <w:rFonts w:ascii="Times New Roman" w:hAnsi="Times New Roman" w:cs="Times New Roman"/>
          <w:sz w:val="24"/>
          <w:szCs w:val="24"/>
        </w:rPr>
        <w:t>internal banking factor</w:t>
      </w:r>
      <w:r w:rsidR="00DC47CC" w:rsidRPr="004B502E">
        <w:rPr>
          <w:rFonts w:ascii="Times New Roman" w:hAnsi="Times New Roman" w:cs="Times New Roman"/>
          <w:sz w:val="24"/>
          <w:szCs w:val="24"/>
        </w:rPr>
        <w:t>, it expresses the efficiency in expense management</w:t>
      </w:r>
      <w:r w:rsidR="00517800" w:rsidRPr="004B502E">
        <w:rPr>
          <w:rFonts w:ascii="Times New Roman" w:hAnsi="Times New Roman" w:cs="Times New Roman"/>
          <w:sz w:val="24"/>
          <w:szCs w:val="24"/>
        </w:rPr>
        <w:t xml:space="preserve"> </w:t>
      </w:r>
      <w:r w:rsidR="00533741">
        <w:rPr>
          <w:rFonts w:ascii="Times New Roman" w:hAnsi="Times New Roman" w:cs="Times New Roman"/>
          <w:sz w:val="24"/>
          <w:szCs w:val="24"/>
        </w:rPr>
        <w:t>with</w:t>
      </w:r>
      <w:r w:rsidR="00533741" w:rsidRPr="004B502E">
        <w:rPr>
          <w:rFonts w:ascii="Times New Roman" w:hAnsi="Times New Roman" w:cs="Times New Roman"/>
          <w:sz w:val="24"/>
          <w:szCs w:val="24"/>
        </w:rPr>
        <w:t xml:space="preserve"> </w:t>
      </w:r>
      <w:r w:rsidR="00DC47CC" w:rsidRPr="004B502E">
        <w:rPr>
          <w:rFonts w:ascii="Times New Roman" w:hAnsi="Times New Roman" w:cs="Times New Roman"/>
          <w:sz w:val="24"/>
          <w:szCs w:val="24"/>
        </w:rPr>
        <w:t xml:space="preserve">regard to </w:t>
      </w:r>
      <w:r w:rsidR="00533741">
        <w:rPr>
          <w:rFonts w:ascii="Times New Roman" w:hAnsi="Times New Roman" w:cs="Times New Roman"/>
          <w:sz w:val="24"/>
          <w:szCs w:val="24"/>
        </w:rPr>
        <w:t xml:space="preserve">the </w:t>
      </w:r>
      <w:r w:rsidR="00DC47CC" w:rsidRPr="004B502E">
        <w:rPr>
          <w:rFonts w:ascii="Times New Roman" w:hAnsi="Times New Roman" w:cs="Times New Roman"/>
          <w:sz w:val="24"/>
          <w:szCs w:val="24"/>
        </w:rPr>
        <w:t xml:space="preserve">total assets of the bank. </w:t>
      </w:r>
    </w:p>
    <w:p w:rsidR="000A0B92" w:rsidRPr="004B502E" w:rsidRDefault="000B5CF2" w:rsidP="00675B4F">
      <w:pPr>
        <w:spacing w:line="480" w:lineRule="auto"/>
        <w:ind w:firstLine="720"/>
        <w:rPr>
          <w:rFonts w:ascii="Times New Roman" w:hAnsi="Times New Roman" w:cs="Times New Roman"/>
          <w:sz w:val="24"/>
          <w:szCs w:val="24"/>
        </w:rPr>
      </w:pPr>
      <w:r w:rsidRPr="004B502E">
        <w:rPr>
          <w:rFonts w:ascii="Times New Roman" w:hAnsi="Times New Roman" w:cs="Times New Roman"/>
          <w:b/>
          <w:sz w:val="24"/>
          <w:szCs w:val="24"/>
        </w:rPr>
        <w:t>Bank ownership</w:t>
      </w:r>
      <w:r w:rsidR="00F4599F" w:rsidRPr="004B502E">
        <w:rPr>
          <w:rFonts w:ascii="Times New Roman" w:hAnsi="Times New Roman" w:cs="Times New Roman"/>
          <w:sz w:val="24"/>
          <w:szCs w:val="24"/>
        </w:rPr>
        <w:t xml:space="preserve"> is the variable that repre</w:t>
      </w:r>
      <w:r w:rsidR="006A7444" w:rsidRPr="004B502E">
        <w:rPr>
          <w:rFonts w:ascii="Times New Roman" w:hAnsi="Times New Roman" w:cs="Times New Roman"/>
          <w:sz w:val="24"/>
          <w:szCs w:val="24"/>
        </w:rPr>
        <w:t>sents whether the major part of</w:t>
      </w:r>
      <w:r w:rsidR="00F4599F" w:rsidRPr="004B502E">
        <w:rPr>
          <w:rFonts w:ascii="Times New Roman" w:hAnsi="Times New Roman" w:cs="Times New Roman"/>
          <w:sz w:val="24"/>
          <w:szCs w:val="24"/>
        </w:rPr>
        <w:t xml:space="preserve"> the banking asset</w:t>
      </w:r>
      <w:r w:rsidR="002F282D" w:rsidRPr="004B502E">
        <w:rPr>
          <w:rFonts w:ascii="Times New Roman" w:hAnsi="Times New Roman" w:cs="Times New Roman"/>
          <w:sz w:val="24"/>
          <w:szCs w:val="24"/>
        </w:rPr>
        <w:t>s</w:t>
      </w:r>
      <w:r w:rsidR="00F4599F" w:rsidRPr="004B502E">
        <w:rPr>
          <w:rFonts w:ascii="Times New Roman" w:hAnsi="Times New Roman" w:cs="Times New Roman"/>
          <w:sz w:val="24"/>
          <w:szCs w:val="24"/>
        </w:rPr>
        <w:t xml:space="preserve"> belong to foreign or </w:t>
      </w:r>
      <w:r w:rsidR="00C61A1C" w:rsidRPr="004B502E">
        <w:rPr>
          <w:rFonts w:ascii="Times New Roman" w:hAnsi="Times New Roman" w:cs="Times New Roman"/>
          <w:sz w:val="24"/>
          <w:szCs w:val="24"/>
        </w:rPr>
        <w:t xml:space="preserve">local </w:t>
      </w:r>
      <w:r w:rsidR="00F4599F" w:rsidRPr="004B502E">
        <w:rPr>
          <w:rFonts w:ascii="Times New Roman" w:hAnsi="Times New Roman" w:cs="Times New Roman"/>
          <w:sz w:val="24"/>
          <w:szCs w:val="24"/>
        </w:rPr>
        <w:t>investors.</w:t>
      </w:r>
      <w:r w:rsidR="00F16405" w:rsidRPr="004B502E">
        <w:rPr>
          <w:rFonts w:ascii="Times New Roman" w:hAnsi="Times New Roman" w:cs="Times New Roman"/>
          <w:sz w:val="24"/>
          <w:szCs w:val="24"/>
        </w:rPr>
        <w:t xml:space="preserve"> </w:t>
      </w:r>
      <w:r w:rsidR="001C19E5" w:rsidRPr="004B502E">
        <w:rPr>
          <w:rFonts w:ascii="Times New Roman" w:hAnsi="Times New Roman" w:cs="Times New Roman"/>
          <w:sz w:val="24"/>
          <w:szCs w:val="24"/>
        </w:rPr>
        <w:t xml:space="preserve">Previous studies </w:t>
      </w:r>
      <w:r w:rsidR="00533741">
        <w:rPr>
          <w:rFonts w:ascii="Times New Roman" w:hAnsi="Times New Roman" w:cs="Times New Roman"/>
          <w:sz w:val="24"/>
          <w:szCs w:val="24"/>
        </w:rPr>
        <w:t xml:space="preserve">of </w:t>
      </w:r>
      <w:r w:rsidR="00852351">
        <w:rPr>
          <w:rFonts w:ascii="Times New Roman" w:hAnsi="Times New Roman" w:cs="Times New Roman"/>
          <w:sz w:val="24"/>
          <w:szCs w:val="24"/>
        </w:rPr>
        <w:t>Islamic banks</w:t>
      </w:r>
      <w:r w:rsidR="001C19E5" w:rsidRPr="004B502E">
        <w:rPr>
          <w:rFonts w:ascii="Times New Roman" w:hAnsi="Times New Roman" w:cs="Times New Roman"/>
          <w:sz w:val="24"/>
          <w:szCs w:val="24"/>
        </w:rPr>
        <w:t xml:space="preserve"> show both positive (e.g.</w:t>
      </w:r>
      <w:r w:rsidR="00533741">
        <w:rPr>
          <w:rFonts w:ascii="Times New Roman" w:hAnsi="Times New Roman" w:cs="Times New Roman"/>
          <w:sz w:val="24"/>
          <w:szCs w:val="24"/>
        </w:rPr>
        <w:t>,</w:t>
      </w:r>
      <w:r w:rsidR="001C19E5" w:rsidRPr="004B502E">
        <w:rPr>
          <w:rFonts w:ascii="Times New Roman" w:hAnsi="Times New Roman" w:cs="Times New Roman"/>
          <w:sz w:val="24"/>
          <w:szCs w:val="24"/>
        </w:rPr>
        <w:t xml:space="preserve"> Bashir, 2003) and negative (</w:t>
      </w:r>
      <w:r w:rsidR="00D047DD" w:rsidRPr="004B502E">
        <w:rPr>
          <w:rFonts w:ascii="Times New Roman" w:hAnsi="Times New Roman" w:cs="Times New Roman"/>
          <w:sz w:val="24"/>
          <w:szCs w:val="24"/>
        </w:rPr>
        <w:t>e.g.</w:t>
      </w:r>
      <w:r w:rsidR="00533741">
        <w:rPr>
          <w:rFonts w:ascii="Times New Roman" w:hAnsi="Times New Roman" w:cs="Times New Roman"/>
          <w:sz w:val="24"/>
          <w:szCs w:val="24"/>
        </w:rPr>
        <w:t>,</w:t>
      </w:r>
      <w:r w:rsidR="00D047DD" w:rsidRPr="004B502E">
        <w:rPr>
          <w:rFonts w:ascii="Times New Roman" w:hAnsi="Times New Roman" w:cs="Times New Roman"/>
          <w:sz w:val="24"/>
          <w:szCs w:val="24"/>
        </w:rPr>
        <w:t xml:space="preserve"> </w:t>
      </w:r>
      <w:r w:rsidR="001C19E5" w:rsidRPr="004B502E">
        <w:rPr>
          <w:rFonts w:ascii="Times New Roman" w:hAnsi="Times New Roman" w:cs="Times New Roman"/>
          <w:sz w:val="24"/>
          <w:szCs w:val="24"/>
        </w:rPr>
        <w:t>Zeitun, 2012) effect</w:t>
      </w:r>
      <w:r w:rsidR="002F282D" w:rsidRPr="004B502E">
        <w:rPr>
          <w:rFonts w:ascii="Times New Roman" w:hAnsi="Times New Roman" w:cs="Times New Roman"/>
          <w:sz w:val="24"/>
          <w:szCs w:val="24"/>
        </w:rPr>
        <w:t>s</w:t>
      </w:r>
      <w:r w:rsidR="001C19E5" w:rsidRPr="004B502E">
        <w:rPr>
          <w:rFonts w:ascii="Times New Roman" w:hAnsi="Times New Roman" w:cs="Times New Roman"/>
          <w:sz w:val="24"/>
          <w:szCs w:val="24"/>
        </w:rPr>
        <w:t xml:space="preserve"> of this variable on bank performance. </w:t>
      </w:r>
      <w:r w:rsidR="00415726" w:rsidRPr="004B502E">
        <w:rPr>
          <w:rFonts w:ascii="Times New Roman" w:hAnsi="Times New Roman" w:cs="Times New Roman"/>
          <w:sz w:val="24"/>
          <w:szCs w:val="24"/>
        </w:rPr>
        <w:t xml:space="preserve">Generally, </w:t>
      </w:r>
      <w:r w:rsidR="00533741" w:rsidRPr="004B502E">
        <w:rPr>
          <w:rFonts w:ascii="Times New Roman" w:hAnsi="Times New Roman" w:cs="Times New Roman"/>
          <w:sz w:val="24"/>
          <w:szCs w:val="24"/>
        </w:rPr>
        <w:t>foreign</w:t>
      </w:r>
      <w:r w:rsidR="00533741">
        <w:rPr>
          <w:rFonts w:ascii="Times New Roman" w:hAnsi="Times New Roman" w:cs="Times New Roman"/>
          <w:sz w:val="24"/>
          <w:szCs w:val="24"/>
        </w:rPr>
        <w:t>-</w:t>
      </w:r>
      <w:r w:rsidR="00415726" w:rsidRPr="004B502E">
        <w:rPr>
          <w:rFonts w:ascii="Times New Roman" w:hAnsi="Times New Roman" w:cs="Times New Roman"/>
          <w:sz w:val="24"/>
          <w:szCs w:val="24"/>
        </w:rPr>
        <w:t xml:space="preserve">owned banks benefit </w:t>
      </w:r>
      <w:r w:rsidR="002411C6">
        <w:rPr>
          <w:rFonts w:ascii="Times New Roman" w:hAnsi="Times New Roman" w:cs="Times New Roman"/>
          <w:sz w:val="24"/>
          <w:szCs w:val="24"/>
        </w:rPr>
        <w:t>from</w:t>
      </w:r>
      <w:r w:rsidR="00415726" w:rsidRPr="004B502E">
        <w:rPr>
          <w:rFonts w:ascii="Times New Roman" w:hAnsi="Times New Roman" w:cs="Times New Roman"/>
          <w:sz w:val="24"/>
          <w:szCs w:val="24"/>
        </w:rPr>
        <w:t xml:space="preserve"> tax</w:t>
      </w:r>
      <w:r w:rsidR="006A5549" w:rsidRPr="004B502E">
        <w:rPr>
          <w:rFonts w:ascii="Times New Roman" w:hAnsi="Times New Roman" w:cs="Times New Roman"/>
          <w:sz w:val="24"/>
          <w:szCs w:val="24"/>
        </w:rPr>
        <w:t xml:space="preserve"> reductions</w:t>
      </w:r>
      <w:r w:rsidR="00415726" w:rsidRPr="004B502E">
        <w:rPr>
          <w:rFonts w:ascii="Times New Roman" w:hAnsi="Times New Roman" w:cs="Times New Roman"/>
          <w:sz w:val="24"/>
          <w:szCs w:val="24"/>
        </w:rPr>
        <w:t xml:space="preserve"> </w:t>
      </w:r>
      <w:r w:rsidR="006A5549" w:rsidRPr="004B502E">
        <w:rPr>
          <w:rFonts w:ascii="Times New Roman" w:hAnsi="Times New Roman" w:cs="Times New Roman"/>
          <w:sz w:val="24"/>
          <w:szCs w:val="24"/>
        </w:rPr>
        <w:t xml:space="preserve">from the government </w:t>
      </w:r>
      <w:r w:rsidR="00415726" w:rsidRPr="004B502E">
        <w:rPr>
          <w:rFonts w:ascii="Times New Roman" w:hAnsi="Times New Roman" w:cs="Times New Roman"/>
          <w:sz w:val="24"/>
          <w:szCs w:val="24"/>
        </w:rPr>
        <w:t>(Bashir, 2003)</w:t>
      </w:r>
      <w:r w:rsidR="002411C6">
        <w:rPr>
          <w:rFonts w:ascii="Times New Roman" w:hAnsi="Times New Roman" w:cs="Times New Roman"/>
          <w:sz w:val="24"/>
          <w:szCs w:val="24"/>
        </w:rPr>
        <w:t>, which</w:t>
      </w:r>
      <w:r w:rsidR="006A5549" w:rsidRPr="004B502E">
        <w:rPr>
          <w:rFonts w:ascii="Times New Roman" w:hAnsi="Times New Roman" w:cs="Times New Roman"/>
          <w:sz w:val="24"/>
          <w:szCs w:val="24"/>
        </w:rPr>
        <w:t xml:space="preserve"> motivate</w:t>
      </w:r>
      <w:r w:rsidR="002411C6">
        <w:rPr>
          <w:rFonts w:ascii="Times New Roman" w:hAnsi="Times New Roman" w:cs="Times New Roman"/>
          <w:sz w:val="24"/>
          <w:szCs w:val="24"/>
        </w:rPr>
        <w:t>s</w:t>
      </w:r>
      <w:r w:rsidR="006A5549" w:rsidRPr="004B502E">
        <w:rPr>
          <w:rFonts w:ascii="Times New Roman" w:hAnsi="Times New Roman" w:cs="Times New Roman"/>
          <w:sz w:val="24"/>
          <w:szCs w:val="24"/>
        </w:rPr>
        <w:t xml:space="preserve"> foreign investors to invest </w:t>
      </w:r>
      <w:r w:rsidR="002411C6">
        <w:rPr>
          <w:rFonts w:ascii="Times New Roman" w:hAnsi="Times New Roman" w:cs="Times New Roman"/>
          <w:sz w:val="24"/>
          <w:szCs w:val="24"/>
        </w:rPr>
        <w:t>in</w:t>
      </w:r>
      <w:r w:rsidR="002411C6" w:rsidRPr="004B502E">
        <w:rPr>
          <w:rFonts w:ascii="Times New Roman" w:hAnsi="Times New Roman" w:cs="Times New Roman"/>
          <w:sz w:val="24"/>
          <w:szCs w:val="24"/>
        </w:rPr>
        <w:t xml:space="preserve"> th</w:t>
      </w:r>
      <w:r w:rsidR="002411C6">
        <w:rPr>
          <w:rFonts w:ascii="Times New Roman" w:hAnsi="Times New Roman" w:cs="Times New Roman"/>
          <w:sz w:val="24"/>
          <w:szCs w:val="24"/>
        </w:rPr>
        <w:t>e</w:t>
      </w:r>
      <w:r w:rsidR="002411C6" w:rsidRPr="004B502E">
        <w:rPr>
          <w:rFonts w:ascii="Times New Roman" w:hAnsi="Times New Roman" w:cs="Times New Roman"/>
          <w:sz w:val="24"/>
          <w:szCs w:val="24"/>
        </w:rPr>
        <w:t xml:space="preserve"> </w:t>
      </w:r>
      <w:r w:rsidR="006A5549" w:rsidRPr="004B502E">
        <w:rPr>
          <w:rFonts w:ascii="Times New Roman" w:hAnsi="Times New Roman" w:cs="Times New Roman"/>
          <w:sz w:val="24"/>
          <w:szCs w:val="24"/>
        </w:rPr>
        <w:t>country. I</w:t>
      </w:r>
      <w:r w:rsidR="00415726" w:rsidRPr="004B502E">
        <w:rPr>
          <w:rFonts w:ascii="Times New Roman" w:hAnsi="Times New Roman" w:cs="Times New Roman"/>
          <w:sz w:val="24"/>
          <w:szCs w:val="24"/>
        </w:rPr>
        <w:t>n the current analysis i</w:t>
      </w:r>
      <w:r w:rsidR="00D047DD" w:rsidRPr="004B502E">
        <w:rPr>
          <w:rFonts w:ascii="Times New Roman" w:hAnsi="Times New Roman" w:cs="Times New Roman"/>
          <w:sz w:val="24"/>
          <w:szCs w:val="24"/>
        </w:rPr>
        <w:t>t is expected to have a positive</w:t>
      </w:r>
      <w:r w:rsidR="00415726" w:rsidRPr="004B502E">
        <w:rPr>
          <w:rFonts w:ascii="Times New Roman" w:hAnsi="Times New Roman" w:cs="Times New Roman"/>
          <w:sz w:val="24"/>
          <w:szCs w:val="24"/>
        </w:rPr>
        <w:t xml:space="preserve"> impact on the performance of </w:t>
      </w:r>
      <w:r w:rsidR="00852351">
        <w:rPr>
          <w:rFonts w:ascii="Times New Roman" w:hAnsi="Times New Roman" w:cs="Times New Roman"/>
          <w:sz w:val="24"/>
          <w:szCs w:val="24"/>
        </w:rPr>
        <w:t>Islamic banks</w:t>
      </w:r>
      <w:r w:rsidR="00415726" w:rsidRPr="004B502E">
        <w:rPr>
          <w:rFonts w:ascii="Times New Roman" w:hAnsi="Times New Roman" w:cs="Times New Roman"/>
          <w:sz w:val="24"/>
          <w:szCs w:val="24"/>
        </w:rPr>
        <w:t xml:space="preserve">. </w:t>
      </w:r>
      <w:r w:rsidR="00D06CEE" w:rsidRPr="004B502E">
        <w:rPr>
          <w:rFonts w:ascii="Times New Roman" w:hAnsi="Times New Roman" w:cs="Times New Roman"/>
          <w:sz w:val="24"/>
          <w:szCs w:val="24"/>
        </w:rPr>
        <w:t>It will be</w:t>
      </w:r>
      <w:r w:rsidR="00353319" w:rsidRPr="004B502E">
        <w:rPr>
          <w:rFonts w:ascii="Times New Roman" w:hAnsi="Times New Roman" w:cs="Times New Roman"/>
          <w:sz w:val="24"/>
          <w:szCs w:val="24"/>
        </w:rPr>
        <w:t xml:space="preserve"> included </w:t>
      </w:r>
      <w:r w:rsidR="002411C6">
        <w:rPr>
          <w:rFonts w:ascii="Times New Roman" w:hAnsi="Times New Roman" w:cs="Times New Roman"/>
          <w:sz w:val="24"/>
          <w:szCs w:val="24"/>
        </w:rPr>
        <w:t>in</w:t>
      </w:r>
      <w:r w:rsidR="002411C6" w:rsidRPr="004B502E">
        <w:rPr>
          <w:rFonts w:ascii="Times New Roman" w:hAnsi="Times New Roman" w:cs="Times New Roman"/>
          <w:sz w:val="24"/>
          <w:szCs w:val="24"/>
        </w:rPr>
        <w:t xml:space="preserve"> </w:t>
      </w:r>
      <w:r w:rsidR="00C61A1C" w:rsidRPr="004B502E">
        <w:rPr>
          <w:rFonts w:ascii="Times New Roman" w:hAnsi="Times New Roman" w:cs="Times New Roman"/>
          <w:sz w:val="24"/>
          <w:szCs w:val="24"/>
        </w:rPr>
        <w:t xml:space="preserve">the current study </w:t>
      </w:r>
      <w:r w:rsidR="00353319" w:rsidRPr="004B502E">
        <w:rPr>
          <w:rFonts w:ascii="Times New Roman" w:hAnsi="Times New Roman" w:cs="Times New Roman"/>
          <w:sz w:val="24"/>
          <w:szCs w:val="24"/>
        </w:rPr>
        <w:t xml:space="preserve">as an independent variable because </w:t>
      </w:r>
      <w:r w:rsidR="002F282D" w:rsidRPr="004B502E">
        <w:rPr>
          <w:rFonts w:ascii="Times New Roman" w:hAnsi="Times New Roman" w:cs="Times New Roman"/>
          <w:sz w:val="24"/>
          <w:szCs w:val="24"/>
        </w:rPr>
        <w:t xml:space="preserve">six </w:t>
      </w:r>
      <w:r w:rsidR="00353319" w:rsidRPr="004B502E">
        <w:rPr>
          <w:rFonts w:ascii="Times New Roman" w:hAnsi="Times New Roman" w:cs="Times New Roman"/>
          <w:sz w:val="24"/>
          <w:szCs w:val="24"/>
        </w:rPr>
        <w:t xml:space="preserve">out of 16 </w:t>
      </w:r>
      <w:r w:rsidR="00852351">
        <w:rPr>
          <w:rFonts w:ascii="Times New Roman" w:hAnsi="Times New Roman" w:cs="Times New Roman"/>
          <w:sz w:val="24"/>
          <w:szCs w:val="24"/>
        </w:rPr>
        <w:t>Islamic banks</w:t>
      </w:r>
      <w:r w:rsidR="00353319" w:rsidRPr="004B502E">
        <w:rPr>
          <w:rFonts w:ascii="Times New Roman" w:hAnsi="Times New Roman" w:cs="Times New Roman"/>
          <w:sz w:val="24"/>
          <w:szCs w:val="24"/>
        </w:rPr>
        <w:t xml:space="preserve"> </w:t>
      </w:r>
      <w:r w:rsidR="002411C6">
        <w:rPr>
          <w:rFonts w:ascii="Times New Roman" w:hAnsi="Times New Roman" w:cs="Times New Roman"/>
          <w:sz w:val="24"/>
          <w:szCs w:val="24"/>
        </w:rPr>
        <w:t>in</w:t>
      </w:r>
      <w:r w:rsidR="002411C6" w:rsidRPr="004B502E">
        <w:rPr>
          <w:rFonts w:ascii="Times New Roman" w:hAnsi="Times New Roman" w:cs="Times New Roman"/>
          <w:sz w:val="24"/>
          <w:szCs w:val="24"/>
        </w:rPr>
        <w:t xml:space="preserve"> </w:t>
      </w:r>
      <w:r w:rsidR="00353319" w:rsidRPr="004B502E">
        <w:rPr>
          <w:rFonts w:ascii="Times New Roman" w:hAnsi="Times New Roman" w:cs="Times New Roman"/>
          <w:sz w:val="24"/>
          <w:szCs w:val="24"/>
        </w:rPr>
        <w:t>Malaysia are foreign owne</w:t>
      </w:r>
      <w:r w:rsidR="00C61A1C" w:rsidRPr="004B502E">
        <w:rPr>
          <w:rFonts w:ascii="Times New Roman" w:hAnsi="Times New Roman" w:cs="Times New Roman"/>
          <w:sz w:val="24"/>
          <w:szCs w:val="24"/>
        </w:rPr>
        <w:t xml:space="preserve">d, and the analysis of </w:t>
      </w:r>
      <w:r w:rsidR="00353319" w:rsidRPr="004B502E">
        <w:rPr>
          <w:rFonts w:ascii="Times New Roman" w:hAnsi="Times New Roman" w:cs="Times New Roman"/>
          <w:sz w:val="24"/>
          <w:szCs w:val="24"/>
        </w:rPr>
        <w:t xml:space="preserve">differences in ownership would </w:t>
      </w:r>
      <w:r w:rsidR="002411C6">
        <w:rPr>
          <w:rFonts w:ascii="Times New Roman" w:hAnsi="Times New Roman" w:cs="Times New Roman"/>
          <w:sz w:val="24"/>
          <w:szCs w:val="24"/>
        </w:rPr>
        <w:t>indicate</w:t>
      </w:r>
      <w:r w:rsidR="00353319" w:rsidRPr="004B502E">
        <w:rPr>
          <w:rFonts w:ascii="Times New Roman" w:hAnsi="Times New Roman" w:cs="Times New Roman"/>
          <w:sz w:val="24"/>
          <w:szCs w:val="24"/>
        </w:rPr>
        <w:t xml:space="preserve"> how ownership </w:t>
      </w:r>
      <w:r w:rsidR="001C19E5" w:rsidRPr="004B502E">
        <w:rPr>
          <w:rFonts w:ascii="Times New Roman" w:hAnsi="Times New Roman" w:cs="Times New Roman"/>
          <w:sz w:val="24"/>
          <w:szCs w:val="24"/>
        </w:rPr>
        <w:t xml:space="preserve">over banking assets </w:t>
      </w:r>
      <w:r w:rsidR="00353319" w:rsidRPr="004B502E">
        <w:rPr>
          <w:rFonts w:ascii="Times New Roman" w:hAnsi="Times New Roman" w:cs="Times New Roman"/>
          <w:sz w:val="24"/>
          <w:szCs w:val="24"/>
        </w:rPr>
        <w:t>in Malaysia</w:t>
      </w:r>
      <w:r w:rsidR="002411C6">
        <w:rPr>
          <w:rFonts w:ascii="Times New Roman" w:hAnsi="Times New Roman" w:cs="Times New Roman"/>
          <w:sz w:val="24"/>
          <w:szCs w:val="24"/>
        </w:rPr>
        <w:t>n</w:t>
      </w:r>
      <w:r w:rsidR="00353319" w:rsidRPr="004B502E">
        <w:rPr>
          <w:rFonts w:ascii="Times New Roman" w:hAnsi="Times New Roman" w:cs="Times New Roman"/>
          <w:sz w:val="24"/>
          <w:szCs w:val="24"/>
        </w:rPr>
        <w:t xml:space="preserve"> </w:t>
      </w:r>
      <w:r w:rsidR="002411C6">
        <w:rPr>
          <w:rFonts w:ascii="Times New Roman" w:hAnsi="Times New Roman" w:cs="Times New Roman"/>
          <w:sz w:val="24"/>
          <w:szCs w:val="24"/>
        </w:rPr>
        <w:t xml:space="preserve">Islamic banks </w:t>
      </w:r>
      <w:r w:rsidR="00353319" w:rsidRPr="004B502E">
        <w:rPr>
          <w:rFonts w:ascii="Times New Roman" w:hAnsi="Times New Roman" w:cs="Times New Roman"/>
          <w:sz w:val="24"/>
          <w:szCs w:val="24"/>
        </w:rPr>
        <w:t xml:space="preserve">affects performance. </w:t>
      </w:r>
      <w:r w:rsidR="006943BF" w:rsidRPr="004B502E">
        <w:rPr>
          <w:rFonts w:ascii="Times New Roman" w:hAnsi="Times New Roman" w:cs="Times New Roman"/>
          <w:sz w:val="24"/>
          <w:szCs w:val="24"/>
        </w:rPr>
        <w:t xml:space="preserve"> </w:t>
      </w:r>
    </w:p>
    <w:p w:rsidR="007E2337" w:rsidRPr="004B502E" w:rsidRDefault="0029551C" w:rsidP="007E2337">
      <w:pPr>
        <w:spacing w:line="480" w:lineRule="auto"/>
        <w:ind w:firstLine="720"/>
        <w:rPr>
          <w:rFonts w:ascii="Times New Roman" w:hAnsi="Times New Roman" w:cs="Times New Roman"/>
          <w:sz w:val="24"/>
          <w:szCs w:val="24"/>
        </w:rPr>
      </w:pPr>
      <w:r w:rsidRPr="004B502E">
        <w:rPr>
          <w:rFonts w:ascii="Times New Roman" w:hAnsi="Times New Roman" w:cs="Times New Roman"/>
          <w:b/>
          <w:sz w:val="24"/>
          <w:szCs w:val="24"/>
        </w:rPr>
        <w:t>Bank size</w:t>
      </w:r>
      <w:r w:rsidRPr="004B502E">
        <w:rPr>
          <w:rFonts w:ascii="Times New Roman" w:hAnsi="Times New Roman" w:cs="Times New Roman"/>
          <w:sz w:val="24"/>
          <w:szCs w:val="24"/>
        </w:rPr>
        <w:t xml:space="preserve"> (</w:t>
      </w:r>
      <w:r w:rsidR="002411C6">
        <w:rPr>
          <w:rFonts w:ascii="Times New Roman" w:hAnsi="Times New Roman" w:cs="Times New Roman"/>
          <w:sz w:val="24"/>
          <w:szCs w:val="24"/>
        </w:rPr>
        <w:t xml:space="preserve">a </w:t>
      </w:r>
      <w:r w:rsidRPr="004B502E">
        <w:rPr>
          <w:rFonts w:ascii="Times New Roman" w:hAnsi="Times New Roman" w:cs="Times New Roman"/>
          <w:sz w:val="24"/>
          <w:szCs w:val="24"/>
        </w:rPr>
        <w:t>logarithmic value of total banking assets)</w:t>
      </w:r>
      <w:r w:rsidR="00415726" w:rsidRPr="004B502E">
        <w:rPr>
          <w:rFonts w:ascii="Times New Roman" w:hAnsi="Times New Roman" w:cs="Times New Roman"/>
          <w:sz w:val="24"/>
          <w:szCs w:val="24"/>
        </w:rPr>
        <w:t xml:space="preserve"> is also one of the widely </w:t>
      </w:r>
      <w:r w:rsidR="002411C6">
        <w:rPr>
          <w:rFonts w:ascii="Times New Roman" w:hAnsi="Times New Roman" w:cs="Times New Roman"/>
          <w:sz w:val="24"/>
          <w:szCs w:val="24"/>
        </w:rPr>
        <w:t>us</w:t>
      </w:r>
      <w:r w:rsidR="002411C6" w:rsidRPr="004B502E">
        <w:rPr>
          <w:rFonts w:ascii="Times New Roman" w:hAnsi="Times New Roman" w:cs="Times New Roman"/>
          <w:sz w:val="24"/>
          <w:szCs w:val="24"/>
        </w:rPr>
        <w:t xml:space="preserve">ed </w:t>
      </w:r>
      <w:r w:rsidR="00415726" w:rsidRPr="004B502E">
        <w:rPr>
          <w:rFonts w:ascii="Times New Roman" w:hAnsi="Times New Roman" w:cs="Times New Roman"/>
          <w:sz w:val="24"/>
          <w:szCs w:val="24"/>
        </w:rPr>
        <w:t xml:space="preserve">internal </w:t>
      </w:r>
      <w:r w:rsidR="006D3065">
        <w:rPr>
          <w:rFonts w:ascii="Times New Roman" w:hAnsi="Times New Roman" w:cs="Times New Roman"/>
          <w:sz w:val="24"/>
          <w:szCs w:val="24"/>
        </w:rPr>
        <w:t>factors</w:t>
      </w:r>
      <w:r w:rsidR="00415726" w:rsidRPr="004B502E">
        <w:rPr>
          <w:rFonts w:ascii="Times New Roman" w:hAnsi="Times New Roman" w:cs="Times New Roman"/>
          <w:sz w:val="24"/>
          <w:szCs w:val="24"/>
        </w:rPr>
        <w:t xml:space="preserve"> in profitability studies conducted on </w:t>
      </w:r>
      <w:r w:rsidR="00852351">
        <w:rPr>
          <w:rFonts w:ascii="Times New Roman" w:hAnsi="Times New Roman" w:cs="Times New Roman"/>
          <w:sz w:val="24"/>
          <w:szCs w:val="24"/>
        </w:rPr>
        <w:t>Islamic banks</w:t>
      </w:r>
      <w:r w:rsidR="00415726" w:rsidRPr="004B502E">
        <w:rPr>
          <w:rFonts w:ascii="Times New Roman" w:hAnsi="Times New Roman" w:cs="Times New Roman"/>
          <w:sz w:val="24"/>
          <w:szCs w:val="24"/>
        </w:rPr>
        <w:t xml:space="preserve"> (</w:t>
      </w:r>
      <w:r w:rsidR="00075149" w:rsidRPr="004B502E">
        <w:rPr>
          <w:rFonts w:ascii="Times New Roman" w:hAnsi="Times New Roman" w:cs="Times New Roman"/>
          <w:sz w:val="24"/>
          <w:szCs w:val="24"/>
        </w:rPr>
        <w:t xml:space="preserve">Akhtar et al., 2011; Alkassim, 2005; Bintawim, 2011; Idris et al., 2011; </w:t>
      </w:r>
      <w:r w:rsidR="00415726" w:rsidRPr="004B502E">
        <w:rPr>
          <w:rFonts w:ascii="Times New Roman" w:hAnsi="Times New Roman" w:cs="Times New Roman"/>
          <w:sz w:val="24"/>
          <w:szCs w:val="24"/>
        </w:rPr>
        <w:t xml:space="preserve">Kok et al., 2012; </w:t>
      </w:r>
      <w:r w:rsidR="00951213" w:rsidRPr="004B502E">
        <w:rPr>
          <w:rFonts w:ascii="Times New Roman" w:hAnsi="Times New Roman" w:cs="Times New Roman"/>
          <w:sz w:val="24"/>
          <w:szCs w:val="24"/>
        </w:rPr>
        <w:t>Wasiuzzaman &amp; Tarmizi, 2010</w:t>
      </w:r>
      <w:r w:rsidR="00C83A73" w:rsidRPr="004B502E">
        <w:rPr>
          <w:rFonts w:ascii="Times New Roman" w:hAnsi="Times New Roman" w:cs="Times New Roman"/>
          <w:sz w:val="24"/>
          <w:szCs w:val="24"/>
        </w:rPr>
        <w:t>; Zeitun, 2012</w:t>
      </w:r>
      <w:r w:rsidR="006E2ADB" w:rsidRPr="004B502E">
        <w:rPr>
          <w:rFonts w:ascii="Times New Roman" w:hAnsi="Times New Roman" w:cs="Times New Roman"/>
          <w:sz w:val="24"/>
          <w:szCs w:val="24"/>
        </w:rPr>
        <w:t xml:space="preserve">). </w:t>
      </w:r>
      <w:r w:rsidR="00415726" w:rsidRPr="004B502E">
        <w:rPr>
          <w:rFonts w:ascii="Times New Roman" w:hAnsi="Times New Roman" w:cs="Times New Roman"/>
          <w:sz w:val="24"/>
          <w:szCs w:val="24"/>
        </w:rPr>
        <w:t xml:space="preserve">This ratio represents the total assets of each bank, and how </w:t>
      </w:r>
      <w:r w:rsidR="002411C6">
        <w:rPr>
          <w:rFonts w:ascii="Times New Roman" w:hAnsi="Times New Roman" w:cs="Times New Roman"/>
          <w:sz w:val="24"/>
          <w:szCs w:val="24"/>
        </w:rPr>
        <w:t xml:space="preserve">they </w:t>
      </w:r>
      <w:r w:rsidR="00CE670A" w:rsidRPr="004B502E">
        <w:rPr>
          <w:rFonts w:ascii="Times New Roman" w:hAnsi="Times New Roman" w:cs="Times New Roman"/>
          <w:sz w:val="24"/>
          <w:szCs w:val="24"/>
        </w:rPr>
        <w:t xml:space="preserve">change </w:t>
      </w:r>
      <w:r w:rsidR="00415726" w:rsidRPr="004B502E">
        <w:rPr>
          <w:rFonts w:ascii="Times New Roman" w:hAnsi="Times New Roman" w:cs="Times New Roman"/>
          <w:sz w:val="24"/>
          <w:szCs w:val="24"/>
        </w:rPr>
        <w:t xml:space="preserve">on </w:t>
      </w:r>
      <w:r w:rsidR="00CE670A" w:rsidRPr="004B502E">
        <w:rPr>
          <w:rFonts w:ascii="Times New Roman" w:hAnsi="Times New Roman" w:cs="Times New Roman"/>
          <w:sz w:val="24"/>
          <w:szCs w:val="24"/>
        </w:rPr>
        <w:t xml:space="preserve">a </w:t>
      </w:r>
      <w:r w:rsidR="00415726" w:rsidRPr="004B502E">
        <w:rPr>
          <w:rFonts w:ascii="Times New Roman" w:hAnsi="Times New Roman" w:cs="Times New Roman"/>
          <w:sz w:val="24"/>
          <w:szCs w:val="24"/>
        </w:rPr>
        <w:t xml:space="preserve">yearly basis. </w:t>
      </w:r>
      <w:r w:rsidR="00752D3F" w:rsidRPr="004B502E">
        <w:rPr>
          <w:rFonts w:ascii="Times New Roman" w:hAnsi="Times New Roman" w:cs="Times New Roman"/>
          <w:sz w:val="24"/>
          <w:szCs w:val="24"/>
        </w:rPr>
        <w:t xml:space="preserve">The effect of banks size </w:t>
      </w:r>
      <w:r w:rsidR="002411C6" w:rsidRPr="004B502E">
        <w:rPr>
          <w:rFonts w:ascii="Times New Roman" w:hAnsi="Times New Roman" w:cs="Times New Roman"/>
          <w:sz w:val="24"/>
          <w:szCs w:val="24"/>
        </w:rPr>
        <w:t>o</w:t>
      </w:r>
      <w:r w:rsidR="002411C6">
        <w:rPr>
          <w:rFonts w:ascii="Times New Roman" w:hAnsi="Times New Roman" w:cs="Times New Roman"/>
          <w:sz w:val="24"/>
          <w:szCs w:val="24"/>
        </w:rPr>
        <w:t>n</w:t>
      </w:r>
      <w:r w:rsidR="002411C6" w:rsidRPr="004B502E">
        <w:rPr>
          <w:rFonts w:ascii="Times New Roman" w:hAnsi="Times New Roman" w:cs="Times New Roman"/>
          <w:sz w:val="24"/>
          <w:szCs w:val="24"/>
        </w:rPr>
        <w:t xml:space="preserve"> </w:t>
      </w:r>
      <w:r w:rsidR="00752D3F" w:rsidRPr="004B502E">
        <w:rPr>
          <w:rFonts w:ascii="Times New Roman" w:hAnsi="Times New Roman" w:cs="Times New Roman"/>
          <w:sz w:val="24"/>
          <w:szCs w:val="24"/>
        </w:rPr>
        <w:t xml:space="preserve">performance could be explained with the </w:t>
      </w:r>
      <w:r w:rsidR="002411C6" w:rsidRPr="004B502E">
        <w:rPr>
          <w:rFonts w:ascii="Times New Roman" w:hAnsi="Times New Roman" w:cs="Times New Roman"/>
          <w:sz w:val="24"/>
          <w:szCs w:val="24"/>
        </w:rPr>
        <w:t>economies</w:t>
      </w:r>
      <w:r w:rsidR="002411C6">
        <w:rPr>
          <w:rFonts w:ascii="Times New Roman" w:hAnsi="Times New Roman" w:cs="Times New Roman"/>
          <w:sz w:val="24"/>
          <w:szCs w:val="24"/>
        </w:rPr>
        <w:t>-</w:t>
      </w:r>
      <w:r w:rsidR="002411C6" w:rsidRPr="004B502E">
        <w:rPr>
          <w:rFonts w:ascii="Times New Roman" w:hAnsi="Times New Roman" w:cs="Times New Roman"/>
          <w:sz w:val="24"/>
          <w:szCs w:val="24"/>
        </w:rPr>
        <w:t>of</w:t>
      </w:r>
      <w:r w:rsidR="002411C6">
        <w:rPr>
          <w:rFonts w:ascii="Times New Roman" w:hAnsi="Times New Roman" w:cs="Times New Roman"/>
          <w:sz w:val="24"/>
          <w:szCs w:val="24"/>
        </w:rPr>
        <w:t>-</w:t>
      </w:r>
      <w:r w:rsidR="00752D3F" w:rsidRPr="004B502E">
        <w:rPr>
          <w:rFonts w:ascii="Times New Roman" w:hAnsi="Times New Roman" w:cs="Times New Roman"/>
          <w:sz w:val="24"/>
          <w:szCs w:val="24"/>
        </w:rPr>
        <w:t xml:space="preserve">scale concept: </w:t>
      </w:r>
      <w:r w:rsidR="002411C6">
        <w:rPr>
          <w:rFonts w:ascii="Times New Roman" w:hAnsi="Times New Roman" w:cs="Times New Roman"/>
          <w:sz w:val="24"/>
          <w:szCs w:val="24"/>
        </w:rPr>
        <w:t>larg</w:t>
      </w:r>
      <w:r w:rsidR="002411C6" w:rsidRPr="004B502E">
        <w:rPr>
          <w:rFonts w:ascii="Times New Roman" w:hAnsi="Times New Roman" w:cs="Times New Roman"/>
          <w:sz w:val="24"/>
          <w:szCs w:val="24"/>
        </w:rPr>
        <w:t xml:space="preserve">er </w:t>
      </w:r>
      <w:r w:rsidR="00C83A73" w:rsidRPr="004B502E">
        <w:rPr>
          <w:rFonts w:ascii="Times New Roman" w:hAnsi="Times New Roman" w:cs="Times New Roman"/>
          <w:sz w:val="24"/>
          <w:szCs w:val="24"/>
        </w:rPr>
        <w:t xml:space="preserve">bank size </w:t>
      </w:r>
      <w:r w:rsidR="002411C6">
        <w:rPr>
          <w:rFonts w:ascii="Times New Roman" w:hAnsi="Times New Roman" w:cs="Times New Roman"/>
          <w:sz w:val="24"/>
          <w:szCs w:val="24"/>
        </w:rPr>
        <w:t>results in fewer</w:t>
      </w:r>
      <w:r w:rsidR="00C83A73" w:rsidRPr="004B502E">
        <w:rPr>
          <w:rFonts w:ascii="Times New Roman" w:hAnsi="Times New Roman" w:cs="Times New Roman"/>
          <w:sz w:val="24"/>
          <w:szCs w:val="24"/>
        </w:rPr>
        <w:t xml:space="preserve"> expenses</w:t>
      </w:r>
      <w:r w:rsidR="00265599" w:rsidRPr="004B502E">
        <w:rPr>
          <w:rFonts w:ascii="Times New Roman" w:hAnsi="Times New Roman" w:cs="Times New Roman"/>
          <w:sz w:val="24"/>
          <w:szCs w:val="24"/>
        </w:rPr>
        <w:t xml:space="preserve"> which in </w:t>
      </w:r>
      <w:r w:rsidR="002411C6">
        <w:rPr>
          <w:rFonts w:ascii="Times New Roman" w:hAnsi="Times New Roman" w:cs="Times New Roman"/>
          <w:sz w:val="24"/>
          <w:szCs w:val="24"/>
        </w:rPr>
        <w:t>turn</w:t>
      </w:r>
      <w:r w:rsidR="00265599" w:rsidRPr="004B502E">
        <w:rPr>
          <w:rFonts w:ascii="Times New Roman" w:hAnsi="Times New Roman" w:cs="Times New Roman"/>
          <w:sz w:val="24"/>
          <w:szCs w:val="24"/>
        </w:rPr>
        <w:t xml:space="preserve"> could bring h</w:t>
      </w:r>
      <w:r w:rsidR="00752D3F" w:rsidRPr="004B502E">
        <w:rPr>
          <w:rFonts w:ascii="Times New Roman" w:hAnsi="Times New Roman" w:cs="Times New Roman"/>
          <w:sz w:val="24"/>
          <w:szCs w:val="24"/>
        </w:rPr>
        <w:t>igher net profits (</w:t>
      </w:r>
      <w:r w:rsidR="00BC315F" w:rsidRPr="004B502E">
        <w:rPr>
          <w:rFonts w:ascii="Times New Roman" w:hAnsi="Times New Roman" w:cs="Times New Roman"/>
          <w:sz w:val="24"/>
          <w:szCs w:val="24"/>
        </w:rPr>
        <w:t>Kok</w:t>
      </w:r>
      <w:r w:rsidR="00752D3F" w:rsidRPr="004B502E">
        <w:rPr>
          <w:rFonts w:ascii="Times New Roman" w:hAnsi="Times New Roman" w:cs="Times New Roman"/>
          <w:sz w:val="24"/>
          <w:szCs w:val="24"/>
        </w:rPr>
        <w:t xml:space="preserve"> et al., 2012). </w:t>
      </w:r>
      <w:r w:rsidR="002411C6">
        <w:rPr>
          <w:rFonts w:ascii="Times New Roman" w:hAnsi="Times New Roman" w:cs="Times New Roman"/>
          <w:sz w:val="24"/>
          <w:szCs w:val="24"/>
        </w:rPr>
        <w:t>B</w:t>
      </w:r>
      <w:r w:rsidR="007E2337" w:rsidRPr="004B502E">
        <w:rPr>
          <w:rFonts w:ascii="Times New Roman" w:hAnsi="Times New Roman" w:cs="Times New Roman"/>
          <w:sz w:val="24"/>
          <w:szCs w:val="24"/>
        </w:rPr>
        <w:t xml:space="preserve">ank size has been included as an independent variable because total assets of </w:t>
      </w:r>
      <w:r w:rsidR="00CE670A" w:rsidRPr="004B502E">
        <w:rPr>
          <w:rFonts w:ascii="Times New Roman" w:hAnsi="Times New Roman" w:cs="Times New Roman"/>
          <w:sz w:val="24"/>
          <w:szCs w:val="24"/>
        </w:rPr>
        <w:t xml:space="preserve">a </w:t>
      </w:r>
      <w:r w:rsidR="007E2337" w:rsidRPr="004B502E">
        <w:rPr>
          <w:rFonts w:ascii="Times New Roman" w:hAnsi="Times New Roman" w:cs="Times New Roman"/>
          <w:sz w:val="24"/>
          <w:szCs w:val="24"/>
        </w:rPr>
        <w:t xml:space="preserve">bank directly affect its future operations and performance.  </w:t>
      </w:r>
    </w:p>
    <w:p w:rsidR="0029551C" w:rsidRPr="004B502E" w:rsidRDefault="00265599" w:rsidP="007E2337">
      <w:pPr>
        <w:spacing w:line="480" w:lineRule="auto"/>
        <w:ind w:firstLine="720"/>
        <w:rPr>
          <w:rFonts w:ascii="Times New Roman" w:hAnsi="Times New Roman" w:cs="Times New Roman"/>
          <w:sz w:val="24"/>
          <w:szCs w:val="24"/>
        </w:rPr>
      </w:pPr>
      <w:r w:rsidRPr="004B502E">
        <w:rPr>
          <w:rFonts w:ascii="Times New Roman" w:hAnsi="Times New Roman" w:cs="Times New Roman"/>
          <w:sz w:val="24"/>
          <w:szCs w:val="24"/>
        </w:rPr>
        <w:t xml:space="preserve">Empirical studies conducted on </w:t>
      </w:r>
      <w:r w:rsidR="00852351">
        <w:rPr>
          <w:rFonts w:ascii="Times New Roman" w:hAnsi="Times New Roman" w:cs="Times New Roman"/>
          <w:sz w:val="24"/>
          <w:szCs w:val="24"/>
        </w:rPr>
        <w:t>Islamic banks</w:t>
      </w:r>
      <w:r w:rsidRPr="004B502E">
        <w:rPr>
          <w:rFonts w:ascii="Times New Roman" w:hAnsi="Times New Roman" w:cs="Times New Roman"/>
          <w:sz w:val="24"/>
          <w:szCs w:val="24"/>
        </w:rPr>
        <w:t xml:space="preserve"> show</w:t>
      </w:r>
      <w:r w:rsidR="002411C6">
        <w:rPr>
          <w:rFonts w:ascii="Times New Roman" w:hAnsi="Times New Roman" w:cs="Times New Roman"/>
          <w:sz w:val="24"/>
          <w:szCs w:val="24"/>
        </w:rPr>
        <w:t>ed</w:t>
      </w:r>
      <w:r w:rsidRPr="004B502E">
        <w:rPr>
          <w:rFonts w:ascii="Times New Roman" w:hAnsi="Times New Roman" w:cs="Times New Roman"/>
          <w:sz w:val="24"/>
          <w:szCs w:val="24"/>
        </w:rPr>
        <w:t xml:space="preserve"> both positive (</w:t>
      </w:r>
      <w:r w:rsidR="00230F55" w:rsidRPr="004B502E">
        <w:rPr>
          <w:rFonts w:ascii="Times New Roman" w:hAnsi="Times New Roman" w:cs="Times New Roman"/>
          <w:sz w:val="24"/>
          <w:szCs w:val="24"/>
        </w:rPr>
        <w:t>Alkassim</w:t>
      </w:r>
      <w:r w:rsidRPr="004B502E">
        <w:rPr>
          <w:rFonts w:ascii="Times New Roman" w:hAnsi="Times New Roman" w:cs="Times New Roman"/>
          <w:sz w:val="24"/>
          <w:szCs w:val="24"/>
        </w:rPr>
        <w:t xml:space="preserve">, </w:t>
      </w:r>
      <w:r w:rsidR="00F34C62" w:rsidRPr="004B502E">
        <w:rPr>
          <w:rFonts w:ascii="Times New Roman" w:hAnsi="Times New Roman" w:cs="Times New Roman"/>
          <w:sz w:val="24"/>
          <w:szCs w:val="24"/>
        </w:rPr>
        <w:t>2005</w:t>
      </w:r>
      <w:r w:rsidRPr="004B502E">
        <w:rPr>
          <w:rFonts w:ascii="Times New Roman" w:hAnsi="Times New Roman" w:cs="Times New Roman"/>
          <w:sz w:val="24"/>
          <w:szCs w:val="24"/>
        </w:rPr>
        <w:t xml:space="preserve">; </w:t>
      </w:r>
      <w:r w:rsidR="00C83A73" w:rsidRPr="004B502E">
        <w:rPr>
          <w:rFonts w:ascii="Times New Roman" w:hAnsi="Times New Roman" w:cs="Times New Roman"/>
          <w:sz w:val="24"/>
          <w:szCs w:val="24"/>
        </w:rPr>
        <w:t>Idris et al.</w:t>
      </w:r>
      <w:r w:rsidRPr="004B502E">
        <w:rPr>
          <w:rFonts w:ascii="Times New Roman" w:hAnsi="Times New Roman" w:cs="Times New Roman"/>
          <w:sz w:val="24"/>
          <w:szCs w:val="24"/>
        </w:rPr>
        <w:t>,</w:t>
      </w:r>
      <w:r w:rsidR="00C83A73" w:rsidRPr="004B502E">
        <w:rPr>
          <w:rFonts w:ascii="Times New Roman" w:hAnsi="Times New Roman" w:cs="Times New Roman"/>
          <w:sz w:val="24"/>
          <w:szCs w:val="24"/>
        </w:rPr>
        <w:t xml:space="preserve"> 2011)</w:t>
      </w:r>
      <w:r w:rsidRPr="004B502E">
        <w:rPr>
          <w:rFonts w:ascii="Times New Roman" w:hAnsi="Times New Roman" w:cs="Times New Roman"/>
          <w:sz w:val="24"/>
          <w:szCs w:val="24"/>
        </w:rPr>
        <w:t xml:space="preserve"> and negative (B</w:t>
      </w:r>
      <w:r w:rsidR="00B54789" w:rsidRPr="004B502E">
        <w:rPr>
          <w:rFonts w:ascii="Times New Roman" w:hAnsi="Times New Roman" w:cs="Times New Roman"/>
          <w:sz w:val="24"/>
          <w:szCs w:val="24"/>
        </w:rPr>
        <w:t>ashir</w:t>
      </w:r>
      <w:r w:rsidRPr="004B502E">
        <w:rPr>
          <w:rFonts w:ascii="Times New Roman" w:hAnsi="Times New Roman" w:cs="Times New Roman"/>
          <w:sz w:val="24"/>
          <w:szCs w:val="24"/>
        </w:rPr>
        <w:t xml:space="preserve">, </w:t>
      </w:r>
      <w:r w:rsidR="00B54789" w:rsidRPr="004B502E">
        <w:rPr>
          <w:rFonts w:ascii="Times New Roman" w:hAnsi="Times New Roman" w:cs="Times New Roman"/>
          <w:sz w:val="24"/>
          <w:szCs w:val="24"/>
        </w:rPr>
        <w:t>2003</w:t>
      </w:r>
      <w:r w:rsidRPr="004B502E">
        <w:rPr>
          <w:rFonts w:ascii="Times New Roman" w:hAnsi="Times New Roman" w:cs="Times New Roman"/>
          <w:sz w:val="24"/>
          <w:szCs w:val="24"/>
        </w:rPr>
        <w:t xml:space="preserve">; </w:t>
      </w:r>
      <w:r w:rsidR="0048250A" w:rsidRPr="004B502E">
        <w:rPr>
          <w:rFonts w:ascii="Times New Roman" w:hAnsi="Times New Roman" w:cs="Times New Roman"/>
          <w:sz w:val="24"/>
          <w:szCs w:val="24"/>
        </w:rPr>
        <w:t>Bintawim</w:t>
      </w:r>
      <w:r w:rsidRPr="004B502E">
        <w:rPr>
          <w:rFonts w:ascii="Times New Roman" w:hAnsi="Times New Roman" w:cs="Times New Roman"/>
          <w:sz w:val="24"/>
          <w:szCs w:val="24"/>
        </w:rPr>
        <w:t>,</w:t>
      </w:r>
      <w:r w:rsidR="0048250A" w:rsidRPr="004B502E">
        <w:rPr>
          <w:rFonts w:ascii="Times New Roman" w:hAnsi="Times New Roman" w:cs="Times New Roman"/>
          <w:sz w:val="24"/>
          <w:szCs w:val="24"/>
        </w:rPr>
        <w:t xml:space="preserve"> 2011)</w:t>
      </w:r>
      <w:r w:rsidR="007E2337" w:rsidRPr="004B502E">
        <w:rPr>
          <w:rFonts w:ascii="Times New Roman" w:hAnsi="Times New Roman" w:cs="Times New Roman"/>
          <w:sz w:val="24"/>
          <w:szCs w:val="24"/>
        </w:rPr>
        <w:t xml:space="preserve"> impact</w:t>
      </w:r>
      <w:r w:rsidR="00C43D44" w:rsidRPr="004B502E">
        <w:rPr>
          <w:rFonts w:ascii="Times New Roman" w:hAnsi="Times New Roman" w:cs="Times New Roman"/>
          <w:sz w:val="24"/>
          <w:szCs w:val="24"/>
        </w:rPr>
        <w:t>s</w:t>
      </w:r>
      <w:r w:rsidR="007E2337" w:rsidRPr="004B502E">
        <w:rPr>
          <w:rFonts w:ascii="Times New Roman" w:hAnsi="Times New Roman" w:cs="Times New Roman"/>
          <w:sz w:val="24"/>
          <w:szCs w:val="24"/>
        </w:rPr>
        <w:t xml:space="preserve"> of</w:t>
      </w:r>
      <w:r w:rsidR="00B54789" w:rsidRPr="004B502E">
        <w:rPr>
          <w:rFonts w:ascii="Times New Roman" w:hAnsi="Times New Roman" w:cs="Times New Roman"/>
          <w:sz w:val="24"/>
          <w:szCs w:val="24"/>
        </w:rPr>
        <w:t xml:space="preserve"> bank size </w:t>
      </w:r>
      <w:r w:rsidR="007E2337" w:rsidRPr="004B502E">
        <w:rPr>
          <w:rFonts w:ascii="Times New Roman" w:hAnsi="Times New Roman" w:cs="Times New Roman"/>
          <w:sz w:val="24"/>
          <w:szCs w:val="24"/>
        </w:rPr>
        <w:t xml:space="preserve">on bank performance. </w:t>
      </w:r>
      <w:r w:rsidR="00583469" w:rsidRPr="004B502E">
        <w:rPr>
          <w:rFonts w:ascii="Times New Roman" w:hAnsi="Times New Roman" w:cs="Times New Roman"/>
          <w:sz w:val="24"/>
          <w:szCs w:val="24"/>
        </w:rPr>
        <w:t xml:space="preserve">Considering the </w:t>
      </w:r>
      <w:r w:rsidR="002411C6" w:rsidRPr="004B502E">
        <w:rPr>
          <w:rFonts w:ascii="Times New Roman" w:hAnsi="Times New Roman" w:cs="Times New Roman"/>
          <w:sz w:val="24"/>
          <w:szCs w:val="24"/>
        </w:rPr>
        <w:t>economies</w:t>
      </w:r>
      <w:r w:rsidR="002411C6">
        <w:rPr>
          <w:rFonts w:ascii="Times New Roman" w:hAnsi="Times New Roman" w:cs="Times New Roman"/>
          <w:sz w:val="24"/>
          <w:szCs w:val="24"/>
        </w:rPr>
        <w:t>-</w:t>
      </w:r>
      <w:r w:rsidR="002411C6" w:rsidRPr="004B502E">
        <w:rPr>
          <w:rFonts w:ascii="Times New Roman" w:hAnsi="Times New Roman" w:cs="Times New Roman"/>
          <w:sz w:val="24"/>
          <w:szCs w:val="24"/>
        </w:rPr>
        <w:t>of</w:t>
      </w:r>
      <w:r w:rsidR="002411C6">
        <w:rPr>
          <w:rFonts w:ascii="Times New Roman" w:hAnsi="Times New Roman" w:cs="Times New Roman"/>
          <w:sz w:val="24"/>
          <w:szCs w:val="24"/>
        </w:rPr>
        <w:t>-</w:t>
      </w:r>
      <w:r w:rsidR="00B54789" w:rsidRPr="004B502E">
        <w:rPr>
          <w:rFonts w:ascii="Times New Roman" w:hAnsi="Times New Roman" w:cs="Times New Roman"/>
          <w:sz w:val="24"/>
          <w:szCs w:val="24"/>
        </w:rPr>
        <w:t xml:space="preserve">scale concept, we expect a positive impact of bank size on the performance of </w:t>
      </w:r>
      <w:r w:rsidR="00583469" w:rsidRPr="004B502E">
        <w:rPr>
          <w:rFonts w:ascii="Times New Roman" w:hAnsi="Times New Roman" w:cs="Times New Roman"/>
          <w:sz w:val="24"/>
          <w:szCs w:val="24"/>
        </w:rPr>
        <w:t xml:space="preserve">Malaysian </w:t>
      </w:r>
      <w:r w:rsidR="00852351">
        <w:rPr>
          <w:rFonts w:ascii="Times New Roman" w:hAnsi="Times New Roman" w:cs="Times New Roman"/>
          <w:sz w:val="24"/>
          <w:szCs w:val="24"/>
        </w:rPr>
        <w:t>Islamic banks</w:t>
      </w:r>
      <w:r w:rsidR="00B54789" w:rsidRPr="004B502E">
        <w:rPr>
          <w:rFonts w:ascii="Times New Roman" w:hAnsi="Times New Roman" w:cs="Times New Roman"/>
          <w:sz w:val="24"/>
          <w:szCs w:val="24"/>
        </w:rPr>
        <w:t xml:space="preserve">.  </w:t>
      </w:r>
    </w:p>
    <w:p w:rsidR="00825481" w:rsidRPr="00825481" w:rsidRDefault="00825481" w:rsidP="005C462B">
      <w:pPr>
        <w:spacing w:line="480" w:lineRule="auto"/>
        <w:ind w:firstLine="720"/>
        <w:rPr>
          <w:rFonts w:ascii="Times New Roman" w:hAnsi="Times New Roman" w:cs="Times New Roman"/>
          <w:sz w:val="24"/>
          <w:szCs w:val="24"/>
        </w:rPr>
      </w:pPr>
      <w:r w:rsidRPr="00825481">
        <w:rPr>
          <w:rFonts w:ascii="Times New Roman" w:hAnsi="Times New Roman" w:cs="Times New Roman"/>
          <w:sz w:val="24"/>
          <w:szCs w:val="24"/>
        </w:rPr>
        <w:t>External factors</w:t>
      </w:r>
      <w:r>
        <w:rPr>
          <w:rFonts w:ascii="Times New Roman" w:hAnsi="Times New Roman" w:cs="Times New Roman"/>
          <w:sz w:val="24"/>
          <w:szCs w:val="24"/>
        </w:rPr>
        <w:t xml:space="preserve"> comprise the set of variables that represent the macroeconomic condition within the country, and they could not be controlled by the bank management. External factors that will be included in the study are presented below:</w:t>
      </w:r>
    </w:p>
    <w:p w:rsidR="004C0E38" w:rsidRPr="004B502E" w:rsidRDefault="004C0E38" w:rsidP="005C462B">
      <w:pPr>
        <w:spacing w:line="480" w:lineRule="auto"/>
        <w:ind w:firstLine="720"/>
        <w:rPr>
          <w:rFonts w:ascii="Times New Roman" w:hAnsi="Times New Roman" w:cs="Times New Roman"/>
          <w:sz w:val="24"/>
          <w:szCs w:val="24"/>
        </w:rPr>
      </w:pPr>
      <w:r w:rsidRPr="004B502E">
        <w:rPr>
          <w:rFonts w:ascii="Times New Roman" w:hAnsi="Times New Roman" w:cs="Times New Roman"/>
          <w:b/>
          <w:sz w:val="24"/>
          <w:szCs w:val="24"/>
        </w:rPr>
        <w:t xml:space="preserve">Annual </w:t>
      </w:r>
      <w:r w:rsidR="00EF1193" w:rsidRPr="004B502E">
        <w:rPr>
          <w:rFonts w:ascii="Times New Roman" w:hAnsi="Times New Roman" w:cs="Times New Roman"/>
          <w:b/>
          <w:sz w:val="24"/>
          <w:szCs w:val="24"/>
        </w:rPr>
        <w:t>gross domestic product</w:t>
      </w:r>
      <w:r w:rsidRPr="004B502E">
        <w:rPr>
          <w:rFonts w:ascii="Times New Roman" w:hAnsi="Times New Roman" w:cs="Times New Roman"/>
          <w:sz w:val="24"/>
          <w:szCs w:val="24"/>
        </w:rPr>
        <w:t xml:space="preserve"> </w:t>
      </w:r>
      <w:r w:rsidR="002411C6">
        <w:rPr>
          <w:rFonts w:ascii="Times New Roman" w:hAnsi="Times New Roman" w:cs="Times New Roman"/>
          <w:sz w:val="24"/>
          <w:szCs w:val="24"/>
        </w:rPr>
        <w:t xml:space="preserve">(GDP) </w:t>
      </w:r>
      <w:r w:rsidRPr="004B502E">
        <w:rPr>
          <w:rFonts w:ascii="Times New Roman" w:hAnsi="Times New Roman" w:cs="Times New Roman"/>
          <w:sz w:val="24"/>
          <w:szCs w:val="24"/>
        </w:rPr>
        <w:t>(inflation adjusted)</w:t>
      </w:r>
      <w:r w:rsidR="009072C9" w:rsidRPr="004B502E">
        <w:rPr>
          <w:rFonts w:ascii="Times New Roman" w:hAnsi="Times New Roman" w:cs="Times New Roman"/>
          <w:sz w:val="24"/>
          <w:szCs w:val="24"/>
        </w:rPr>
        <w:t xml:space="preserve"> is the measurement that represents the economic activity and capability </w:t>
      </w:r>
      <w:r w:rsidR="00C8118F" w:rsidRPr="004B502E">
        <w:rPr>
          <w:rFonts w:ascii="Times New Roman" w:hAnsi="Times New Roman" w:cs="Times New Roman"/>
          <w:sz w:val="24"/>
          <w:szCs w:val="24"/>
        </w:rPr>
        <w:t xml:space="preserve">of </w:t>
      </w:r>
      <w:r w:rsidR="002411C6">
        <w:rPr>
          <w:rFonts w:ascii="Times New Roman" w:hAnsi="Times New Roman" w:cs="Times New Roman"/>
          <w:sz w:val="24"/>
          <w:szCs w:val="24"/>
        </w:rPr>
        <w:t>an</w:t>
      </w:r>
      <w:r w:rsidR="002411C6" w:rsidRPr="004B502E">
        <w:rPr>
          <w:rFonts w:ascii="Times New Roman" w:hAnsi="Times New Roman" w:cs="Times New Roman"/>
          <w:sz w:val="24"/>
          <w:szCs w:val="24"/>
        </w:rPr>
        <w:t xml:space="preserve"> </w:t>
      </w:r>
      <w:r w:rsidR="009072C9" w:rsidRPr="004B502E">
        <w:rPr>
          <w:rFonts w:ascii="Times New Roman" w:hAnsi="Times New Roman" w:cs="Times New Roman"/>
          <w:sz w:val="24"/>
          <w:szCs w:val="24"/>
        </w:rPr>
        <w:t>economy (</w:t>
      </w:r>
      <w:r w:rsidR="00BC315F" w:rsidRPr="004B502E">
        <w:rPr>
          <w:rFonts w:ascii="Times New Roman" w:hAnsi="Times New Roman" w:cs="Times New Roman"/>
          <w:sz w:val="24"/>
          <w:szCs w:val="24"/>
        </w:rPr>
        <w:t>Kok</w:t>
      </w:r>
      <w:r w:rsidR="009072C9" w:rsidRPr="004B502E">
        <w:rPr>
          <w:rFonts w:ascii="Times New Roman" w:hAnsi="Times New Roman" w:cs="Times New Roman"/>
          <w:sz w:val="24"/>
          <w:szCs w:val="24"/>
        </w:rPr>
        <w:t xml:space="preserve"> et al., 2012). </w:t>
      </w:r>
      <w:r w:rsidR="00555071" w:rsidRPr="004B502E">
        <w:rPr>
          <w:rFonts w:ascii="Times New Roman" w:hAnsi="Times New Roman" w:cs="Times New Roman"/>
          <w:sz w:val="24"/>
          <w:szCs w:val="24"/>
        </w:rPr>
        <w:t xml:space="preserve">Empirical results show that GDP has a positive and significant effect on the performance of </w:t>
      </w:r>
      <w:r w:rsidR="00852351">
        <w:rPr>
          <w:rFonts w:ascii="Times New Roman" w:hAnsi="Times New Roman" w:cs="Times New Roman"/>
          <w:sz w:val="24"/>
          <w:szCs w:val="24"/>
        </w:rPr>
        <w:t>Islamic banks</w:t>
      </w:r>
      <w:r w:rsidR="00555071" w:rsidRPr="004B502E">
        <w:rPr>
          <w:rFonts w:ascii="Times New Roman" w:hAnsi="Times New Roman" w:cs="Times New Roman"/>
          <w:sz w:val="24"/>
          <w:szCs w:val="24"/>
        </w:rPr>
        <w:t xml:space="preserve"> (Bashir, 2003; Smaoui &amp; Salah, 2012; Wasiuzzaman &amp; Tarmizi, 2010), because f</w:t>
      </w:r>
      <w:r w:rsidR="009072C9" w:rsidRPr="004B502E">
        <w:rPr>
          <w:rFonts w:ascii="Times New Roman" w:hAnsi="Times New Roman" w:cs="Times New Roman"/>
          <w:sz w:val="24"/>
          <w:szCs w:val="24"/>
        </w:rPr>
        <w:t>avorable macroeconomi</w:t>
      </w:r>
      <w:r w:rsidR="00555071" w:rsidRPr="004B502E">
        <w:rPr>
          <w:rFonts w:ascii="Times New Roman" w:hAnsi="Times New Roman" w:cs="Times New Roman"/>
          <w:sz w:val="24"/>
          <w:szCs w:val="24"/>
        </w:rPr>
        <w:t>c condition</w:t>
      </w:r>
      <w:r w:rsidR="005C462B" w:rsidRPr="004B502E">
        <w:rPr>
          <w:rFonts w:ascii="Times New Roman" w:hAnsi="Times New Roman" w:cs="Times New Roman"/>
          <w:sz w:val="24"/>
          <w:szCs w:val="24"/>
        </w:rPr>
        <w:t>s</w:t>
      </w:r>
      <w:r w:rsidR="00555071" w:rsidRPr="004B502E">
        <w:rPr>
          <w:rFonts w:ascii="Times New Roman" w:hAnsi="Times New Roman" w:cs="Times New Roman"/>
          <w:sz w:val="24"/>
          <w:szCs w:val="24"/>
        </w:rPr>
        <w:t xml:space="preserve"> within the country </w:t>
      </w:r>
      <w:r w:rsidR="009072C9" w:rsidRPr="004B502E">
        <w:rPr>
          <w:rFonts w:ascii="Times New Roman" w:hAnsi="Times New Roman" w:cs="Times New Roman"/>
          <w:sz w:val="24"/>
          <w:szCs w:val="24"/>
        </w:rPr>
        <w:t>create</w:t>
      </w:r>
      <w:r w:rsidR="005C462B" w:rsidRPr="004B502E">
        <w:rPr>
          <w:rFonts w:ascii="Times New Roman" w:hAnsi="Times New Roman" w:cs="Times New Roman"/>
          <w:sz w:val="24"/>
          <w:szCs w:val="24"/>
        </w:rPr>
        <w:t xml:space="preserve"> a </w:t>
      </w:r>
      <w:r w:rsidR="009072C9" w:rsidRPr="004B502E">
        <w:rPr>
          <w:rFonts w:ascii="Times New Roman" w:hAnsi="Times New Roman" w:cs="Times New Roman"/>
          <w:sz w:val="24"/>
          <w:szCs w:val="24"/>
        </w:rPr>
        <w:t>good environment for the banking sector.</w:t>
      </w:r>
      <w:r w:rsidR="006B30C7" w:rsidRPr="004B502E">
        <w:rPr>
          <w:rFonts w:ascii="Times New Roman" w:hAnsi="Times New Roman" w:cs="Times New Roman"/>
          <w:sz w:val="24"/>
          <w:szCs w:val="24"/>
        </w:rPr>
        <w:t xml:space="preserve">  </w:t>
      </w:r>
      <w:r w:rsidR="00555071" w:rsidRPr="004B502E">
        <w:rPr>
          <w:rFonts w:ascii="Times New Roman" w:hAnsi="Times New Roman" w:cs="Times New Roman"/>
          <w:sz w:val="24"/>
          <w:szCs w:val="24"/>
        </w:rPr>
        <w:t>In the present study,</w:t>
      </w:r>
      <w:r w:rsidR="006B30C7" w:rsidRPr="004B502E">
        <w:rPr>
          <w:rFonts w:ascii="Times New Roman" w:hAnsi="Times New Roman" w:cs="Times New Roman"/>
          <w:sz w:val="24"/>
          <w:szCs w:val="24"/>
        </w:rPr>
        <w:t xml:space="preserve"> </w:t>
      </w:r>
      <w:r w:rsidR="004F0DA6" w:rsidRPr="004B502E">
        <w:rPr>
          <w:rFonts w:ascii="Times New Roman" w:hAnsi="Times New Roman" w:cs="Times New Roman"/>
          <w:sz w:val="24"/>
          <w:szCs w:val="24"/>
        </w:rPr>
        <w:t xml:space="preserve">GDP is expected to have a positive effect on the performance of </w:t>
      </w:r>
      <w:r w:rsidR="00852351">
        <w:rPr>
          <w:rFonts w:ascii="Times New Roman" w:hAnsi="Times New Roman" w:cs="Times New Roman"/>
          <w:sz w:val="24"/>
          <w:szCs w:val="24"/>
        </w:rPr>
        <w:t>Islamic banks</w:t>
      </w:r>
      <w:r w:rsidR="004F0DA6" w:rsidRPr="004B502E">
        <w:rPr>
          <w:rFonts w:ascii="Times New Roman" w:hAnsi="Times New Roman" w:cs="Times New Roman"/>
          <w:sz w:val="24"/>
          <w:szCs w:val="24"/>
        </w:rPr>
        <w:t xml:space="preserve">, </w:t>
      </w:r>
      <w:r w:rsidR="00F2743E" w:rsidRPr="004B502E">
        <w:rPr>
          <w:rFonts w:ascii="Times New Roman" w:hAnsi="Times New Roman" w:cs="Times New Roman"/>
          <w:sz w:val="24"/>
          <w:szCs w:val="24"/>
        </w:rPr>
        <w:t xml:space="preserve">because </w:t>
      </w:r>
      <w:r w:rsidR="004F0DA6" w:rsidRPr="004B502E">
        <w:rPr>
          <w:rFonts w:ascii="Times New Roman" w:hAnsi="Times New Roman" w:cs="Times New Roman"/>
          <w:sz w:val="24"/>
          <w:szCs w:val="24"/>
        </w:rPr>
        <w:t xml:space="preserve">if GDP decreases it would badly </w:t>
      </w:r>
      <w:r w:rsidR="00555071" w:rsidRPr="004B502E">
        <w:rPr>
          <w:rFonts w:ascii="Times New Roman" w:hAnsi="Times New Roman" w:cs="Times New Roman"/>
          <w:sz w:val="24"/>
          <w:szCs w:val="24"/>
        </w:rPr>
        <w:t>a</w:t>
      </w:r>
      <w:r w:rsidR="004F0DA6" w:rsidRPr="004B502E">
        <w:rPr>
          <w:rFonts w:ascii="Times New Roman" w:hAnsi="Times New Roman" w:cs="Times New Roman"/>
          <w:sz w:val="24"/>
          <w:szCs w:val="24"/>
        </w:rPr>
        <w:t>ffect the banking industry by decreasing the credit quality</w:t>
      </w:r>
      <w:r w:rsidR="005C462B" w:rsidRPr="004B502E">
        <w:rPr>
          <w:rFonts w:ascii="Times New Roman" w:hAnsi="Times New Roman" w:cs="Times New Roman"/>
          <w:sz w:val="24"/>
          <w:szCs w:val="24"/>
        </w:rPr>
        <w:t xml:space="preserve"> </w:t>
      </w:r>
      <w:r w:rsidR="004F0DA6" w:rsidRPr="004B502E">
        <w:rPr>
          <w:rFonts w:ascii="Times New Roman" w:hAnsi="Times New Roman" w:cs="Times New Roman"/>
          <w:sz w:val="24"/>
          <w:szCs w:val="24"/>
        </w:rPr>
        <w:t xml:space="preserve">which </w:t>
      </w:r>
      <w:r w:rsidR="00555071" w:rsidRPr="004B502E">
        <w:rPr>
          <w:rFonts w:ascii="Times New Roman" w:hAnsi="Times New Roman" w:cs="Times New Roman"/>
          <w:sz w:val="24"/>
          <w:szCs w:val="24"/>
        </w:rPr>
        <w:t>in the end could</w:t>
      </w:r>
      <w:r w:rsidR="004F0DA6" w:rsidRPr="004B502E">
        <w:rPr>
          <w:rFonts w:ascii="Times New Roman" w:hAnsi="Times New Roman" w:cs="Times New Roman"/>
          <w:sz w:val="24"/>
          <w:szCs w:val="24"/>
        </w:rPr>
        <w:t xml:space="preserve"> reduce the profits of </w:t>
      </w:r>
      <w:r w:rsidR="00852351">
        <w:rPr>
          <w:rFonts w:ascii="Times New Roman" w:hAnsi="Times New Roman" w:cs="Times New Roman"/>
          <w:sz w:val="24"/>
          <w:szCs w:val="24"/>
        </w:rPr>
        <w:t>Islamic banks</w:t>
      </w:r>
      <w:r w:rsidR="004F0DA6" w:rsidRPr="004B502E">
        <w:rPr>
          <w:rFonts w:ascii="Times New Roman" w:hAnsi="Times New Roman" w:cs="Times New Roman"/>
          <w:sz w:val="24"/>
          <w:szCs w:val="24"/>
        </w:rPr>
        <w:t xml:space="preserve"> (</w:t>
      </w:r>
      <w:r w:rsidR="00951213" w:rsidRPr="004B502E">
        <w:rPr>
          <w:rFonts w:ascii="Times New Roman" w:hAnsi="Times New Roman" w:cs="Times New Roman"/>
          <w:sz w:val="24"/>
          <w:szCs w:val="24"/>
        </w:rPr>
        <w:t>Wasiuzzaman &amp; Tarmizi, 2010</w:t>
      </w:r>
      <w:r w:rsidR="004F0DA6" w:rsidRPr="004B502E">
        <w:rPr>
          <w:rFonts w:ascii="Times New Roman" w:hAnsi="Times New Roman" w:cs="Times New Roman"/>
          <w:sz w:val="24"/>
          <w:szCs w:val="24"/>
        </w:rPr>
        <w:t xml:space="preserve">). </w:t>
      </w:r>
      <w:r w:rsidR="00555071" w:rsidRPr="004B502E">
        <w:rPr>
          <w:rFonts w:ascii="Times New Roman" w:hAnsi="Times New Roman" w:cs="Times New Roman"/>
          <w:sz w:val="24"/>
          <w:szCs w:val="24"/>
        </w:rPr>
        <w:t>This variable</w:t>
      </w:r>
      <w:r w:rsidR="00D06CEE" w:rsidRPr="004B502E">
        <w:rPr>
          <w:rFonts w:ascii="Times New Roman" w:hAnsi="Times New Roman" w:cs="Times New Roman"/>
          <w:sz w:val="24"/>
          <w:szCs w:val="24"/>
        </w:rPr>
        <w:t xml:space="preserve"> will be </w:t>
      </w:r>
      <w:r w:rsidR="004F0DA6" w:rsidRPr="004B502E">
        <w:rPr>
          <w:rFonts w:ascii="Times New Roman" w:hAnsi="Times New Roman" w:cs="Times New Roman"/>
          <w:sz w:val="24"/>
          <w:szCs w:val="24"/>
        </w:rPr>
        <w:t xml:space="preserve">included as an independent external variable </w:t>
      </w:r>
      <w:r w:rsidR="00555071" w:rsidRPr="004B502E">
        <w:rPr>
          <w:rFonts w:ascii="Times New Roman" w:hAnsi="Times New Roman" w:cs="Times New Roman"/>
          <w:sz w:val="24"/>
          <w:szCs w:val="24"/>
        </w:rPr>
        <w:t>to the current study</w:t>
      </w:r>
      <w:r w:rsidR="002411C6">
        <w:rPr>
          <w:rFonts w:ascii="Times New Roman" w:hAnsi="Times New Roman" w:cs="Times New Roman"/>
          <w:sz w:val="24"/>
          <w:szCs w:val="24"/>
        </w:rPr>
        <w:t xml:space="preserve"> as</w:t>
      </w:r>
      <w:r w:rsidR="004F0DA6" w:rsidRPr="004B502E">
        <w:rPr>
          <w:rFonts w:ascii="Times New Roman" w:hAnsi="Times New Roman" w:cs="Times New Roman"/>
          <w:sz w:val="24"/>
          <w:szCs w:val="24"/>
        </w:rPr>
        <w:t xml:space="preserve"> any changes in GDP could cause changes in the macroeconomi</w:t>
      </w:r>
      <w:r w:rsidR="00555071" w:rsidRPr="004B502E">
        <w:rPr>
          <w:rFonts w:ascii="Times New Roman" w:hAnsi="Times New Roman" w:cs="Times New Roman"/>
          <w:sz w:val="24"/>
          <w:szCs w:val="24"/>
        </w:rPr>
        <w:t xml:space="preserve">c environment </w:t>
      </w:r>
      <w:r w:rsidR="006F7404">
        <w:rPr>
          <w:rFonts w:ascii="Times New Roman" w:hAnsi="Times New Roman" w:cs="Times New Roman"/>
          <w:sz w:val="24"/>
          <w:szCs w:val="24"/>
        </w:rPr>
        <w:t>that</w:t>
      </w:r>
      <w:r w:rsidR="006F7404" w:rsidRPr="004B502E">
        <w:rPr>
          <w:rFonts w:ascii="Times New Roman" w:hAnsi="Times New Roman" w:cs="Times New Roman"/>
          <w:sz w:val="24"/>
          <w:szCs w:val="24"/>
        </w:rPr>
        <w:t xml:space="preserve"> </w:t>
      </w:r>
      <w:r w:rsidR="00555071" w:rsidRPr="004B502E">
        <w:rPr>
          <w:rFonts w:ascii="Times New Roman" w:hAnsi="Times New Roman" w:cs="Times New Roman"/>
          <w:sz w:val="24"/>
          <w:szCs w:val="24"/>
        </w:rPr>
        <w:t>could affect</w:t>
      </w:r>
      <w:r w:rsidR="004F0DA6" w:rsidRPr="004B502E">
        <w:rPr>
          <w:rFonts w:ascii="Times New Roman" w:hAnsi="Times New Roman" w:cs="Times New Roman"/>
          <w:sz w:val="24"/>
          <w:szCs w:val="24"/>
        </w:rPr>
        <w:t xml:space="preserve"> </w:t>
      </w:r>
      <w:r w:rsidR="00852351">
        <w:rPr>
          <w:rFonts w:ascii="Times New Roman" w:hAnsi="Times New Roman" w:cs="Times New Roman"/>
          <w:sz w:val="24"/>
          <w:szCs w:val="24"/>
        </w:rPr>
        <w:t>Islamic banks</w:t>
      </w:r>
      <w:r w:rsidR="00F2743E" w:rsidRPr="004B502E">
        <w:rPr>
          <w:rFonts w:ascii="Times New Roman" w:hAnsi="Times New Roman" w:cs="Times New Roman"/>
          <w:sz w:val="24"/>
          <w:szCs w:val="24"/>
        </w:rPr>
        <w:t xml:space="preserve"> that </w:t>
      </w:r>
      <w:r w:rsidR="004F0DA6" w:rsidRPr="004B502E">
        <w:rPr>
          <w:rFonts w:ascii="Times New Roman" w:hAnsi="Times New Roman" w:cs="Times New Roman"/>
          <w:sz w:val="24"/>
          <w:szCs w:val="24"/>
        </w:rPr>
        <w:t xml:space="preserve">engage in highly risky operations </w:t>
      </w:r>
      <w:r w:rsidR="006F7404">
        <w:rPr>
          <w:rFonts w:ascii="Times New Roman" w:hAnsi="Times New Roman" w:cs="Times New Roman"/>
          <w:sz w:val="24"/>
          <w:szCs w:val="24"/>
        </w:rPr>
        <w:t>such as</w:t>
      </w:r>
      <w:r w:rsidR="006F7404" w:rsidRPr="004B502E">
        <w:rPr>
          <w:rFonts w:ascii="Times New Roman" w:hAnsi="Times New Roman" w:cs="Times New Roman"/>
          <w:sz w:val="24"/>
          <w:szCs w:val="24"/>
        </w:rPr>
        <w:t xml:space="preserve"> </w:t>
      </w:r>
      <w:r w:rsidR="004F0DA6" w:rsidRPr="004B502E">
        <w:rPr>
          <w:rFonts w:ascii="Times New Roman" w:hAnsi="Times New Roman" w:cs="Times New Roman"/>
          <w:sz w:val="24"/>
          <w:szCs w:val="24"/>
        </w:rPr>
        <w:t>PLS loans.</w:t>
      </w:r>
      <w:r w:rsidR="00F42034" w:rsidRPr="004B502E">
        <w:rPr>
          <w:rFonts w:ascii="Times New Roman" w:hAnsi="Times New Roman" w:cs="Times New Roman"/>
          <w:sz w:val="24"/>
          <w:szCs w:val="24"/>
        </w:rPr>
        <w:t xml:space="preserve"> </w:t>
      </w:r>
    </w:p>
    <w:p w:rsidR="00D06CEE" w:rsidRPr="004B502E" w:rsidRDefault="006F7404" w:rsidP="0007514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i</w:t>
      </w:r>
      <w:r w:rsidR="004C0E38" w:rsidRPr="004B502E">
        <w:rPr>
          <w:rFonts w:ascii="Times New Roman" w:hAnsi="Times New Roman" w:cs="Times New Roman"/>
          <w:b/>
          <w:sz w:val="24"/>
          <w:szCs w:val="24"/>
        </w:rPr>
        <w:t>nflation rate</w:t>
      </w:r>
      <w:r w:rsidR="00F524DC" w:rsidRPr="004B502E">
        <w:rPr>
          <w:rFonts w:ascii="Times New Roman" w:hAnsi="Times New Roman" w:cs="Times New Roman"/>
          <w:sz w:val="24"/>
          <w:szCs w:val="24"/>
        </w:rPr>
        <w:t xml:space="preserve"> </w:t>
      </w:r>
      <w:r>
        <w:rPr>
          <w:rFonts w:ascii="Times New Roman" w:hAnsi="Times New Roman" w:cs="Times New Roman"/>
          <w:sz w:val="24"/>
          <w:szCs w:val="24"/>
        </w:rPr>
        <w:t>is</w:t>
      </w:r>
      <w:r w:rsidR="00F524DC" w:rsidRPr="004B502E">
        <w:rPr>
          <w:rFonts w:ascii="Times New Roman" w:hAnsi="Times New Roman" w:cs="Times New Roman"/>
          <w:sz w:val="24"/>
          <w:szCs w:val="24"/>
        </w:rPr>
        <w:t xml:space="preserve"> wide</w:t>
      </w:r>
      <w:r>
        <w:rPr>
          <w:rFonts w:ascii="Times New Roman" w:hAnsi="Times New Roman" w:cs="Times New Roman"/>
          <w:sz w:val="24"/>
          <w:szCs w:val="24"/>
        </w:rPr>
        <w:t>ly</w:t>
      </w:r>
      <w:r w:rsidR="00F524DC" w:rsidRPr="004B502E">
        <w:rPr>
          <w:rFonts w:ascii="Times New Roman" w:hAnsi="Times New Roman" w:cs="Times New Roman"/>
          <w:sz w:val="24"/>
          <w:szCs w:val="24"/>
        </w:rPr>
        <w:t xml:space="preserve"> </w:t>
      </w:r>
      <w:r>
        <w:rPr>
          <w:rFonts w:ascii="Times New Roman" w:hAnsi="Times New Roman" w:cs="Times New Roman"/>
          <w:sz w:val="24"/>
          <w:szCs w:val="24"/>
        </w:rPr>
        <w:t>used</w:t>
      </w:r>
      <w:r w:rsidRPr="004B502E">
        <w:rPr>
          <w:rFonts w:ascii="Times New Roman" w:hAnsi="Times New Roman" w:cs="Times New Roman"/>
          <w:sz w:val="24"/>
          <w:szCs w:val="24"/>
        </w:rPr>
        <w:t xml:space="preserve"> </w:t>
      </w:r>
      <w:r w:rsidR="00F524DC" w:rsidRPr="004B502E">
        <w:rPr>
          <w:rFonts w:ascii="Times New Roman" w:hAnsi="Times New Roman" w:cs="Times New Roman"/>
          <w:sz w:val="24"/>
          <w:szCs w:val="24"/>
        </w:rPr>
        <w:t>as an external variable in the profitability stud</w:t>
      </w:r>
      <w:r w:rsidR="000E28BC" w:rsidRPr="004B502E">
        <w:rPr>
          <w:rFonts w:ascii="Times New Roman" w:hAnsi="Times New Roman" w:cs="Times New Roman"/>
          <w:sz w:val="24"/>
          <w:szCs w:val="24"/>
        </w:rPr>
        <w:t xml:space="preserve">ies conducted on </w:t>
      </w:r>
      <w:r w:rsidR="00852351">
        <w:rPr>
          <w:rFonts w:ascii="Times New Roman" w:hAnsi="Times New Roman" w:cs="Times New Roman"/>
          <w:sz w:val="24"/>
          <w:szCs w:val="24"/>
        </w:rPr>
        <w:t>Islamic banks</w:t>
      </w:r>
      <w:r w:rsidR="000E28BC" w:rsidRPr="004B502E">
        <w:rPr>
          <w:rFonts w:ascii="Times New Roman" w:hAnsi="Times New Roman" w:cs="Times New Roman"/>
          <w:sz w:val="24"/>
          <w:szCs w:val="24"/>
        </w:rPr>
        <w:t xml:space="preserve"> (</w:t>
      </w:r>
      <w:r w:rsidR="00075149" w:rsidRPr="004B502E">
        <w:rPr>
          <w:rFonts w:ascii="Times New Roman" w:hAnsi="Times New Roman" w:cs="Times New Roman"/>
          <w:sz w:val="24"/>
          <w:szCs w:val="24"/>
        </w:rPr>
        <w:t>Asutay &amp; Izhar, 2007; Bashir, 2003; Haron, 1996; Karim, Mohamed Sami &amp; Hichem,</w:t>
      </w:r>
      <w:r w:rsidR="00075149" w:rsidRPr="004B502E">
        <w:rPr>
          <w:rFonts w:ascii="Times New Roman" w:hAnsi="Times New Roman" w:cs="Times New Roman"/>
          <w:b/>
          <w:color w:val="222222"/>
          <w:sz w:val="20"/>
          <w:szCs w:val="20"/>
          <w:shd w:val="clear" w:color="auto" w:fill="FFFFFF"/>
        </w:rPr>
        <w:t xml:space="preserve"> </w:t>
      </w:r>
      <w:r w:rsidR="00075149" w:rsidRPr="004B502E">
        <w:rPr>
          <w:rFonts w:ascii="Times New Roman" w:hAnsi="Times New Roman" w:cs="Times New Roman"/>
          <w:sz w:val="24"/>
          <w:szCs w:val="24"/>
        </w:rPr>
        <w:t xml:space="preserve">2010; </w:t>
      </w:r>
      <w:r w:rsidR="00BC315F" w:rsidRPr="004B502E">
        <w:rPr>
          <w:rFonts w:ascii="Times New Roman" w:hAnsi="Times New Roman" w:cs="Times New Roman"/>
          <w:sz w:val="24"/>
          <w:szCs w:val="24"/>
        </w:rPr>
        <w:t>Kok</w:t>
      </w:r>
      <w:r w:rsidR="000E28BC" w:rsidRPr="004B502E">
        <w:rPr>
          <w:rFonts w:ascii="Times New Roman" w:hAnsi="Times New Roman" w:cs="Times New Roman"/>
          <w:sz w:val="24"/>
          <w:szCs w:val="24"/>
        </w:rPr>
        <w:t xml:space="preserve"> et al., 2012; </w:t>
      </w:r>
      <w:r w:rsidR="00075149" w:rsidRPr="004B502E">
        <w:rPr>
          <w:rFonts w:ascii="Times New Roman" w:hAnsi="Times New Roman" w:cs="Times New Roman"/>
          <w:sz w:val="24"/>
          <w:szCs w:val="24"/>
        </w:rPr>
        <w:t xml:space="preserve">Smaoui &amp; Salah, 2012; Srairi, 2009; </w:t>
      </w:r>
      <w:r w:rsidR="00951213" w:rsidRPr="004B502E">
        <w:rPr>
          <w:rFonts w:ascii="Times New Roman" w:hAnsi="Times New Roman" w:cs="Times New Roman"/>
          <w:sz w:val="24"/>
          <w:szCs w:val="24"/>
        </w:rPr>
        <w:t>Wasiuzzaman &amp; Tarmizi, 2010</w:t>
      </w:r>
      <w:r w:rsidR="000E28BC" w:rsidRPr="004B502E">
        <w:rPr>
          <w:rFonts w:ascii="Times New Roman" w:hAnsi="Times New Roman" w:cs="Times New Roman"/>
          <w:sz w:val="24"/>
          <w:szCs w:val="24"/>
        </w:rPr>
        <w:t xml:space="preserve">; </w:t>
      </w:r>
      <w:r w:rsidR="00075149" w:rsidRPr="004B502E">
        <w:rPr>
          <w:rFonts w:ascii="Times New Roman" w:hAnsi="Times New Roman" w:cs="Times New Roman"/>
          <w:sz w:val="24"/>
          <w:szCs w:val="24"/>
        </w:rPr>
        <w:t>Zeitun, 2012</w:t>
      </w:r>
      <w:r w:rsidR="000E28BC" w:rsidRPr="004B502E">
        <w:rPr>
          <w:rFonts w:ascii="Times New Roman" w:hAnsi="Times New Roman" w:cs="Times New Roman"/>
          <w:sz w:val="24"/>
          <w:szCs w:val="24"/>
        </w:rPr>
        <w:t xml:space="preserve">). Inflation </w:t>
      </w:r>
      <w:r w:rsidRPr="004B502E">
        <w:rPr>
          <w:rFonts w:ascii="Times New Roman" w:hAnsi="Times New Roman" w:cs="Times New Roman"/>
          <w:sz w:val="24"/>
          <w:szCs w:val="24"/>
        </w:rPr>
        <w:t>m</w:t>
      </w:r>
      <w:r>
        <w:rPr>
          <w:rFonts w:ascii="Times New Roman" w:hAnsi="Times New Roman" w:cs="Times New Roman"/>
          <w:sz w:val="24"/>
          <w:szCs w:val="24"/>
        </w:rPr>
        <w:t>ay</w:t>
      </w:r>
      <w:r w:rsidRPr="004B502E">
        <w:rPr>
          <w:rFonts w:ascii="Times New Roman" w:hAnsi="Times New Roman" w:cs="Times New Roman"/>
          <w:sz w:val="24"/>
          <w:szCs w:val="24"/>
        </w:rPr>
        <w:t xml:space="preserve"> </w:t>
      </w:r>
      <w:r w:rsidR="000E28BC" w:rsidRPr="004B502E">
        <w:rPr>
          <w:rFonts w:ascii="Times New Roman" w:hAnsi="Times New Roman" w:cs="Times New Roman"/>
          <w:sz w:val="24"/>
          <w:szCs w:val="24"/>
        </w:rPr>
        <w:t>have a negative impact on t</w:t>
      </w:r>
      <w:r w:rsidR="00D06CEE" w:rsidRPr="004B502E">
        <w:rPr>
          <w:rFonts w:ascii="Times New Roman" w:hAnsi="Times New Roman" w:cs="Times New Roman"/>
          <w:sz w:val="24"/>
          <w:szCs w:val="24"/>
        </w:rPr>
        <w:t xml:space="preserve">he performance of </w:t>
      </w:r>
      <w:r w:rsidR="00852351">
        <w:rPr>
          <w:rFonts w:ascii="Times New Roman" w:hAnsi="Times New Roman" w:cs="Times New Roman"/>
          <w:sz w:val="24"/>
          <w:szCs w:val="24"/>
        </w:rPr>
        <w:t>Islamic banks</w:t>
      </w:r>
      <w:r w:rsidR="000E28BC" w:rsidRPr="004B502E">
        <w:rPr>
          <w:rFonts w:ascii="Times New Roman" w:hAnsi="Times New Roman" w:cs="Times New Roman"/>
          <w:sz w:val="24"/>
          <w:szCs w:val="24"/>
        </w:rPr>
        <w:t xml:space="preserve"> </w:t>
      </w:r>
      <w:r w:rsidR="00D06CEE" w:rsidRPr="004B502E">
        <w:rPr>
          <w:rFonts w:ascii="Times New Roman" w:hAnsi="Times New Roman" w:cs="Times New Roman"/>
          <w:sz w:val="24"/>
          <w:szCs w:val="24"/>
        </w:rPr>
        <w:t xml:space="preserve">if </w:t>
      </w:r>
      <w:r w:rsidR="00F2743E" w:rsidRPr="004B502E">
        <w:rPr>
          <w:rFonts w:ascii="Times New Roman" w:hAnsi="Times New Roman" w:cs="Times New Roman"/>
          <w:sz w:val="24"/>
          <w:szCs w:val="24"/>
        </w:rPr>
        <w:t>overhead costs increase</w:t>
      </w:r>
      <w:r w:rsidR="00964EB9" w:rsidRPr="004B502E">
        <w:rPr>
          <w:rFonts w:ascii="Times New Roman" w:hAnsi="Times New Roman" w:cs="Times New Roman"/>
          <w:sz w:val="24"/>
          <w:szCs w:val="24"/>
        </w:rPr>
        <w:t xml:space="preserve"> faster than the inflation rate. </w:t>
      </w:r>
      <w:r w:rsidR="00D06CEE" w:rsidRPr="004B502E">
        <w:rPr>
          <w:rFonts w:ascii="Times New Roman" w:hAnsi="Times New Roman" w:cs="Times New Roman"/>
          <w:sz w:val="24"/>
          <w:szCs w:val="24"/>
        </w:rPr>
        <w:t xml:space="preserve">For instance, </w:t>
      </w:r>
      <w:r w:rsidR="00BC315F" w:rsidRPr="004B502E">
        <w:rPr>
          <w:rFonts w:ascii="Times New Roman" w:hAnsi="Times New Roman" w:cs="Times New Roman"/>
          <w:sz w:val="24"/>
          <w:szCs w:val="24"/>
        </w:rPr>
        <w:t>Kok</w:t>
      </w:r>
      <w:r w:rsidR="00964EB9" w:rsidRPr="004B502E">
        <w:rPr>
          <w:rFonts w:ascii="Times New Roman" w:hAnsi="Times New Roman" w:cs="Times New Roman"/>
          <w:sz w:val="24"/>
          <w:szCs w:val="24"/>
        </w:rPr>
        <w:t xml:space="preserve"> et al. (2012) found </w:t>
      </w:r>
      <w:r w:rsidR="00F2743E" w:rsidRPr="004B502E">
        <w:rPr>
          <w:rFonts w:ascii="Times New Roman" w:hAnsi="Times New Roman" w:cs="Times New Roman"/>
          <w:sz w:val="24"/>
          <w:szCs w:val="24"/>
        </w:rPr>
        <w:t xml:space="preserve">the inflation rate </w:t>
      </w:r>
      <w:r w:rsidRPr="004B502E">
        <w:rPr>
          <w:rFonts w:ascii="Times New Roman" w:hAnsi="Times New Roman" w:cs="Times New Roman"/>
          <w:sz w:val="24"/>
          <w:szCs w:val="24"/>
        </w:rPr>
        <w:t>negative</w:t>
      </w:r>
      <w:r>
        <w:rPr>
          <w:rFonts w:ascii="Times New Roman" w:hAnsi="Times New Roman" w:cs="Times New Roman"/>
          <w:sz w:val="24"/>
          <w:szCs w:val="24"/>
        </w:rPr>
        <w:t>ly</w:t>
      </w:r>
      <w:r w:rsidRPr="004B502E">
        <w:rPr>
          <w:rFonts w:ascii="Times New Roman" w:hAnsi="Times New Roman" w:cs="Times New Roman"/>
          <w:sz w:val="24"/>
          <w:szCs w:val="24"/>
        </w:rPr>
        <w:t xml:space="preserve"> </w:t>
      </w:r>
      <w:r>
        <w:rPr>
          <w:rFonts w:ascii="Times New Roman" w:hAnsi="Times New Roman" w:cs="Times New Roman"/>
          <w:sz w:val="24"/>
          <w:szCs w:val="24"/>
        </w:rPr>
        <w:t>a</w:t>
      </w:r>
      <w:r w:rsidRPr="004B502E">
        <w:rPr>
          <w:rFonts w:ascii="Times New Roman" w:hAnsi="Times New Roman" w:cs="Times New Roman"/>
          <w:sz w:val="24"/>
          <w:szCs w:val="24"/>
        </w:rPr>
        <w:t>ffect</w:t>
      </w:r>
      <w:r>
        <w:rPr>
          <w:rFonts w:ascii="Times New Roman" w:hAnsi="Times New Roman" w:cs="Times New Roman"/>
          <w:sz w:val="24"/>
          <w:szCs w:val="24"/>
        </w:rPr>
        <w:t>ed</w:t>
      </w:r>
      <w:r w:rsidRPr="004B502E">
        <w:rPr>
          <w:rFonts w:ascii="Times New Roman" w:hAnsi="Times New Roman" w:cs="Times New Roman"/>
          <w:sz w:val="24"/>
          <w:szCs w:val="24"/>
        </w:rPr>
        <w:t xml:space="preserve"> </w:t>
      </w:r>
      <w:r w:rsidR="00964EB9" w:rsidRPr="004B502E">
        <w:rPr>
          <w:rFonts w:ascii="Times New Roman" w:hAnsi="Times New Roman" w:cs="Times New Roman"/>
          <w:sz w:val="24"/>
          <w:szCs w:val="24"/>
        </w:rPr>
        <w:t xml:space="preserve">the performance of </w:t>
      </w:r>
      <w:r w:rsidR="006A7F6D" w:rsidRPr="004B502E">
        <w:rPr>
          <w:rFonts w:ascii="Times New Roman" w:hAnsi="Times New Roman" w:cs="Times New Roman"/>
          <w:sz w:val="24"/>
          <w:szCs w:val="24"/>
        </w:rPr>
        <w:t xml:space="preserve">Malaysian </w:t>
      </w:r>
      <w:r w:rsidR="00852351">
        <w:rPr>
          <w:rFonts w:ascii="Times New Roman" w:hAnsi="Times New Roman" w:cs="Times New Roman"/>
          <w:sz w:val="24"/>
          <w:szCs w:val="24"/>
        </w:rPr>
        <w:t>Islamic banks</w:t>
      </w:r>
      <w:r w:rsidR="00F42034" w:rsidRPr="004B502E">
        <w:rPr>
          <w:rFonts w:ascii="Times New Roman" w:hAnsi="Times New Roman" w:cs="Times New Roman"/>
          <w:sz w:val="24"/>
          <w:szCs w:val="24"/>
        </w:rPr>
        <w:t xml:space="preserve">. </w:t>
      </w:r>
    </w:p>
    <w:p w:rsidR="00F42034" w:rsidRPr="004B502E" w:rsidRDefault="00CE4D1F" w:rsidP="00075149">
      <w:pPr>
        <w:spacing w:line="480" w:lineRule="auto"/>
        <w:ind w:firstLine="720"/>
        <w:rPr>
          <w:rFonts w:ascii="Times New Roman" w:hAnsi="Times New Roman" w:cs="Times New Roman"/>
          <w:sz w:val="24"/>
          <w:szCs w:val="24"/>
        </w:rPr>
      </w:pPr>
      <w:r w:rsidRPr="004B502E">
        <w:rPr>
          <w:rFonts w:ascii="Times New Roman" w:hAnsi="Times New Roman" w:cs="Times New Roman"/>
          <w:sz w:val="24"/>
          <w:szCs w:val="24"/>
        </w:rPr>
        <w:t xml:space="preserve">The effect of inflation </w:t>
      </w:r>
      <w:r w:rsidR="006F7404" w:rsidRPr="004B502E">
        <w:rPr>
          <w:rFonts w:ascii="Times New Roman" w:hAnsi="Times New Roman" w:cs="Times New Roman"/>
          <w:sz w:val="24"/>
          <w:szCs w:val="24"/>
        </w:rPr>
        <w:t xml:space="preserve">depends </w:t>
      </w:r>
      <w:r w:rsidRPr="004B502E">
        <w:rPr>
          <w:rFonts w:ascii="Times New Roman" w:hAnsi="Times New Roman" w:cs="Times New Roman"/>
          <w:sz w:val="24"/>
          <w:szCs w:val="24"/>
        </w:rPr>
        <w:t xml:space="preserve">highly on whether it has been predicted or not (Srairi, 2009). </w:t>
      </w:r>
      <w:r w:rsidR="006F7404">
        <w:rPr>
          <w:rFonts w:ascii="Times New Roman" w:hAnsi="Times New Roman" w:cs="Times New Roman"/>
          <w:sz w:val="24"/>
          <w:szCs w:val="24"/>
        </w:rPr>
        <w:t>When</w:t>
      </w:r>
      <w:r w:rsidRPr="004B502E">
        <w:rPr>
          <w:rFonts w:ascii="Times New Roman" w:hAnsi="Times New Roman" w:cs="Times New Roman"/>
          <w:sz w:val="24"/>
          <w:szCs w:val="24"/>
        </w:rPr>
        <w:t xml:space="preserve"> inflation has been predicted, then </w:t>
      </w:r>
      <w:r w:rsidR="00852351">
        <w:rPr>
          <w:rFonts w:ascii="Times New Roman" w:hAnsi="Times New Roman" w:cs="Times New Roman"/>
          <w:sz w:val="24"/>
          <w:szCs w:val="24"/>
        </w:rPr>
        <w:t>banks</w:t>
      </w:r>
      <w:r w:rsidRPr="004B502E">
        <w:rPr>
          <w:rFonts w:ascii="Times New Roman" w:hAnsi="Times New Roman" w:cs="Times New Roman"/>
          <w:sz w:val="24"/>
          <w:szCs w:val="24"/>
        </w:rPr>
        <w:t xml:space="preserve"> </w:t>
      </w:r>
      <w:r w:rsidR="006F7404" w:rsidRPr="004B502E">
        <w:rPr>
          <w:rFonts w:ascii="Times New Roman" w:hAnsi="Times New Roman" w:cs="Times New Roman"/>
          <w:sz w:val="24"/>
          <w:szCs w:val="24"/>
        </w:rPr>
        <w:t>c</w:t>
      </w:r>
      <w:r w:rsidR="006F7404">
        <w:rPr>
          <w:rFonts w:ascii="Times New Roman" w:hAnsi="Times New Roman" w:cs="Times New Roman"/>
          <w:sz w:val="24"/>
          <w:szCs w:val="24"/>
        </w:rPr>
        <w:t>an</w:t>
      </w:r>
      <w:r w:rsidR="006F7404" w:rsidRPr="004B502E">
        <w:rPr>
          <w:rFonts w:ascii="Times New Roman" w:hAnsi="Times New Roman" w:cs="Times New Roman"/>
          <w:sz w:val="24"/>
          <w:szCs w:val="24"/>
        </w:rPr>
        <w:t xml:space="preserve"> </w:t>
      </w:r>
      <w:r w:rsidRPr="004B502E">
        <w:rPr>
          <w:rFonts w:ascii="Times New Roman" w:hAnsi="Times New Roman" w:cs="Times New Roman"/>
          <w:sz w:val="24"/>
          <w:szCs w:val="24"/>
        </w:rPr>
        <w:t xml:space="preserve">adjust returns of their PLS loans, and by doing so could increase profits. However, if it is not predicted, then </w:t>
      </w:r>
      <w:r w:rsidR="00D06CEE" w:rsidRPr="004B502E">
        <w:rPr>
          <w:rFonts w:ascii="Times New Roman" w:hAnsi="Times New Roman" w:cs="Times New Roman"/>
          <w:sz w:val="24"/>
          <w:szCs w:val="24"/>
        </w:rPr>
        <w:t xml:space="preserve">banking </w:t>
      </w:r>
      <w:r w:rsidRPr="004B502E">
        <w:rPr>
          <w:rFonts w:ascii="Times New Roman" w:hAnsi="Times New Roman" w:cs="Times New Roman"/>
          <w:sz w:val="24"/>
          <w:szCs w:val="24"/>
        </w:rPr>
        <w:t xml:space="preserve">costs </w:t>
      </w:r>
      <w:r w:rsidR="00D06CEE" w:rsidRPr="004B502E">
        <w:rPr>
          <w:rFonts w:ascii="Times New Roman" w:hAnsi="Times New Roman" w:cs="Times New Roman"/>
          <w:sz w:val="24"/>
          <w:szCs w:val="24"/>
        </w:rPr>
        <w:t xml:space="preserve">could </w:t>
      </w:r>
      <w:r w:rsidRPr="004B502E">
        <w:rPr>
          <w:rFonts w:ascii="Times New Roman" w:hAnsi="Times New Roman" w:cs="Times New Roman"/>
          <w:sz w:val="24"/>
          <w:szCs w:val="24"/>
        </w:rPr>
        <w:t>increase</w:t>
      </w:r>
      <w:r w:rsidR="009A561A" w:rsidRPr="004B502E">
        <w:rPr>
          <w:rFonts w:ascii="Times New Roman" w:hAnsi="Times New Roman" w:cs="Times New Roman"/>
          <w:sz w:val="24"/>
          <w:szCs w:val="24"/>
        </w:rPr>
        <w:t>,</w:t>
      </w:r>
      <w:r w:rsidRPr="004B502E">
        <w:rPr>
          <w:rFonts w:ascii="Times New Roman" w:hAnsi="Times New Roman" w:cs="Times New Roman"/>
          <w:sz w:val="24"/>
          <w:szCs w:val="24"/>
        </w:rPr>
        <w:t xml:space="preserve"> which </w:t>
      </w:r>
      <w:r w:rsidR="009A561A" w:rsidRPr="004B502E">
        <w:rPr>
          <w:rFonts w:ascii="Times New Roman" w:hAnsi="Times New Roman" w:cs="Times New Roman"/>
          <w:sz w:val="24"/>
          <w:szCs w:val="24"/>
        </w:rPr>
        <w:t xml:space="preserve">could </w:t>
      </w:r>
      <w:r w:rsidR="00D06CEE" w:rsidRPr="004B502E">
        <w:rPr>
          <w:rFonts w:ascii="Times New Roman" w:hAnsi="Times New Roman" w:cs="Times New Roman"/>
          <w:sz w:val="24"/>
          <w:szCs w:val="24"/>
        </w:rPr>
        <w:t xml:space="preserve">eventually </w:t>
      </w:r>
      <w:r w:rsidRPr="004B502E">
        <w:rPr>
          <w:rFonts w:ascii="Times New Roman" w:hAnsi="Times New Roman" w:cs="Times New Roman"/>
          <w:sz w:val="24"/>
          <w:szCs w:val="24"/>
        </w:rPr>
        <w:t xml:space="preserve">decrease the net profits. </w:t>
      </w:r>
      <w:r w:rsidR="00F2743E" w:rsidRPr="004B502E">
        <w:rPr>
          <w:rFonts w:ascii="Times New Roman" w:hAnsi="Times New Roman" w:cs="Times New Roman"/>
          <w:sz w:val="24"/>
          <w:szCs w:val="24"/>
        </w:rPr>
        <w:t xml:space="preserve">Empirical results show </w:t>
      </w:r>
      <w:r w:rsidR="00D06CEE" w:rsidRPr="004B502E">
        <w:rPr>
          <w:rFonts w:ascii="Times New Roman" w:hAnsi="Times New Roman" w:cs="Times New Roman"/>
          <w:sz w:val="24"/>
          <w:szCs w:val="24"/>
        </w:rPr>
        <w:t>a positive impact of</w:t>
      </w:r>
      <w:r w:rsidR="006F7404">
        <w:rPr>
          <w:rFonts w:ascii="Times New Roman" w:hAnsi="Times New Roman" w:cs="Times New Roman"/>
          <w:sz w:val="24"/>
          <w:szCs w:val="24"/>
        </w:rPr>
        <w:t xml:space="preserve"> the</w:t>
      </w:r>
      <w:r w:rsidR="00D06CEE" w:rsidRPr="004B502E">
        <w:rPr>
          <w:rFonts w:ascii="Times New Roman" w:hAnsi="Times New Roman" w:cs="Times New Roman"/>
          <w:sz w:val="24"/>
          <w:szCs w:val="24"/>
        </w:rPr>
        <w:t xml:space="preserve"> inflation rate on Islamic bank performance, which shows that in </w:t>
      </w:r>
      <w:r w:rsidR="00F2743E" w:rsidRPr="004B502E">
        <w:rPr>
          <w:rFonts w:ascii="Times New Roman" w:hAnsi="Times New Roman" w:cs="Times New Roman"/>
          <w:sz w:val="24"/>
          <w:szCs w:val="24"/>
        </w:rPr>
        <w:t xml:space="preserve">most cases </w:t>
      </w:r>
      <w:r w:rsidR="00852351">
        <w:rPr>
          <w:rFonts w:ascii="Times New Roman" w:hAnsi="Times New Roman" w:cs="Times New Roman"/>
          <w:sz w:val="24"/>
          <w:szCs w:val="24"/>
        </w:rPr>
        <w:t>Islamic banks</w:t>
      </w:r>
      <w:r w:rsidR="00F2743E" w:rsidRPr="004B502E">
        <w:rPr>
          <w:rFonts w:ascii="Times New Roman" w:hAnsi="Times New Roman" w:cs="Times New Roman"/>
          <w:sz w:val="24"/>
          <w:szCs w:val="24"/>
        </w:rPr>
        <w:t xml:space="preserve"> were able to predict the inflation rate (Bashir, 2003; </w:t>
      </w:r>
      <w:r w:rsidR="00075149" w:rsidRPr="004B502E">
        <w:rPr>
          <w:rFonts w:ascii="Times New Roman" w:hAnsi="Times New Roman" w:cs="Times New Roman"/>
          <w:sz w:val="24"/>
          <w:szCs w:val="24"/>
        </w:rPr>
        <w:t xml:space="preserve">Smaoui &amp; Salah, 2012; </w:t>
      </w:r>
      <w:r w:rsidR="00951213" w:rsidRPr="004B502E">
        <w:rPr>
          <w:rFonts w:ascii="Times New Roman" w:hAnsi="Times New Roman" w:cs="Times New Roman"/>
          <w:sz w:val="24"/>
          <w:szCs w:val="24"/>
        </w:rPr>
        <w:t>Wasiuzzaman &amp; Tarmizi, 2010</w:t>
      </w:r>
      <w:r w:rsidR="00F2743E" w:rsidRPr="004B502E">
        <w:rPr>
          <w:rFonts w:ascii="Times New Roman" w:hAnsi="Times New Roman" w:cs="Times New Roman"/>
          <w:sz w:val="24"/>
          <w:szCs w:val="24"/>
        </w:rPr>
        <w:t xml:space="preserve">). </w:t>
      </w:r>
      <w:r w:rsidR="00D06CEE" w:rsidRPr="004B502E">
        <w:rPr>
          <w:rFonts w:ascii="Times New Roman" w:hAnsi="Times New Roman" w:cs="Times New Roman"/>
          <w:sz w:val="24"/>
          <w:szCs w:val="24"/>
        </w:rPr>
        <w:t xml:space="preserve">The inflation rate will be </w:t>
      </w:r>
      <w:r w:rsidR="006A7F6D" w:rsidRPr="004B502E">
        <w:rPr>
          <w:rFonts w:ascii="Times New Roman" w:hAnsi="Times New Roman" w:cs="Times New Roman"/>
          <w:sz w:val="24"/>
          <w:szCs w:val="24"/>
        </w:rPr>
        <w:t xml:space="preserve">included in this study </w:t>
      </w:r>
      <w:r w:rsidR="006F7404" w:rsidRPr="004B502E">
        <w:rPr>
          <w:rFonts w:ascii="Times New Roman" w:hAnsi="Times New Roman" w:cs="Times New Roman"/>
          <w:sz w:val="24"/>
          <w:szCs w:val="24"/>
        </w:rPr>
        <w:t xml:space="preserve">as an external variable </w:t>
      </w:r>
      <w:r w:rsidR="006A7F6D" w:rsidRPr="004B502E">
        <w:rPr>
          <w:rFonts w:ascii="Times New Roman" w:hAnsi="Times New Roman" w:cs="Times New Roman"/>
          <w:sz w:val="24"/>
          <w:szCs w:val="24"/>
        </w:rPr>
        <w:t xml:space="preserve">because it could affect the profitability of </w:t>
      </w:r>
      <w:r w:rsidR="00852351">
        <w:rPr>
          <w:rFonts w:ascii="Times New Roman" w:hAnsi="Times New Roman" w:cs="Times New Roman"/>
          <w:sz w:val="24"/>
          <w:szCs w:val="24"/>
        </w:rPr>
        <w:t>Islamic banks</w:t>
      </w:r>
      <w:r w:rsidR="006A7F6D" w:rsidRPr="004B502E">
        <w:rPr>
          <w:rFonts w:ascii="Times New Roman" w:hAnsi="Times New Roman" w:cs="Times New Roman"/>
          <w:sz w:val="24"/>
          <w:szCs w:val="24"/>
        </w:rPr>
        <w:t xml:space="preserve"> if not predicted.</w:t>
      </w:r>
      <w:r w:rsidRPr="004B502E">
        <w:rPr>
          <w:rFonts w:ascii="Times New Roman" w:hAnsi="Times New Roman" w:cs="Times New Roman"/>
          <w:sz w:val="24"/>
          <w:szCs w:val="24"/>
        </w:rPr>
        <w:t xml:space="preserve"> </w:t>
      </w:r>
    </w:p>
    <w:p w:rsidR="00DA6272" w:rsidRPr="004B502E" w:rsidRDefault="004C0E38" w:rsidP="005A3AB7">
      <w:pPr>
        <w:spacing w:line="480" w:lineRule="auto"/>
        <w:ind w:firstLine="720"/>
        <w:rPr>
          <w:rFonts w:ascii="Times New Roman" w:hAnsi="Times New Roman" w:cs="Times New Roman"/>
          <w:sz w:val="24"/>
          <w:szCs w:val="24"/>
        </w:rPr>
      </w:pPr>
      <w:r w:rsidRPr="004B502E">
        <w:rPr>
          <w:rFonts w:ascii="Times New Roman" w:hAnsi="Times New Roman" w:cs="Times New Roman"/>
          <w:b/>
          <w:sz w:val="24"/>
          <w:szCs w:val="24"/>
        </w:rPr>
        <w:t xml:space="preserve">Money </w:t>
      </w:r>
      <w:r w:rsidR="006F7404">
        <w:rPr>
          <w:rFonts w:ascii="Times New Roman" w:hAnsi="Times New Roman" w:cs="Times New Roman"/>
          <w:b/>
          <w:sz w:val="24"/>
          <w:szCs w:val="24"/>
        </w:rPr>
        <w:t>s</w:t>
      </w:r>
      <w:r w:rsidR="006F7404" w:rsidRPr="004B502E">
        <w:rPr>
          <w:rFonts w:ascii="Times New Roman" w:hAnsi="Times New Roman" w:cs="Times New Roman"/>
          <w:b/>
          <w:sz w:val="24"/>
          <w:szCs w:val="24"/>
        </w:rPr>
        <w:t xml:space="preserve">upply </w:t>
      </w:r>
      <w:r w:rsidR="00DA6272" w:rsidRPr="004B502E">
        <w:rPr>
          <w:rFonts w:ascii="Times New Roman" w:hAnsi="Times New Roman" w:cs="Times New Roman"/>
          <w:sz w:val="24"/>
          <w:szCs w:val="24"/>
        </w:rPr>
        <w:t xml:space="preserve">represents the amount of money in the country, and how it affects the performance of </w:t>
      </w:r>
      <w:r w:rsidR="00852351">
        <w:rPr>
          <w:rFonts w:ascii="Times New Roman" w:hAnsi="Times New Roman" w:cs="Times New Roman"/>
          <w:sz w:val="24"/>
          <w:szCs w:val="24"/>
        </w:rPr>
        <w:t>Islamic banks</w:t>
      </w:r>
      <w:r w:rsidR="00D06CEE" w:rsidRPr="004B502E">
        <w:rPr>
          <w:rFonts w:ascii="Times New Roman" w:hAnsi="Times New Roman" w:cs="Times New Roman"/>
          <w:sz w:val="24"/>
          <w:szCs w:val="24"/>
        </w:rPr>
        <w:t>. It could be used as a proxy for</w:t>
      </w:r>
      <w:r w:rsidR="00DA6272" w:rsidRPr="004B502E">
        <w:rPr>
          <w:rFonts w:ascii="Times New Roman" w:hAnsi="Times New Roman" w:cs="Times New Roman"/>
          <w:sz w:val="24"/>
          <w:szCs w:val="24"/>
        </w:rPr>
        <w:t xml:space="preserve"> </w:t>
      </w:r>
      <w:r w:rsidR="00DF2073" w:rsidRPr="004B502E">
        <w:rPr>
          <w:rFonts w:ascii="Times New Roman" w:hAnsi="Times New Roman" w:cs="Times New Roman"/>
          <w:sz w:val="24"/>
          <w:szCs w:val="24"/>
        </w:rPr>
        <w:t>macroeconomic con</w:t>
      </w:r>
      <w:r w:rsidR="006A7F6D" w:rsidRPr="004B502E">
        <w:rPr>
          <w:rFonts w:ascii="Times New Roman" w:hAnsi="Times New Roman" w:cs="Times New Roman"/>
          <w:sz w:val="24"/>
          <w:szCs w:val="24"/>
        </w:rPr>
        <w:t>dition</w:t>
      </w:r>
      <w:r w:rsidR="006F7404">
        <w:rPr>
          <w:rFonts w:ascii="Times New Roman" w:hAnsi="Times New Roman" w:cs="Times New Roman"/>
          <w:sz w:val="24"/>
          <w:szCs w:val="24"/>
        </w:rPr>
        <w:t>s</w:t>
      </w:r>
      <w:r w:rsidR="006A7F6D" w:rsidRPr="004B502E">
        <w:rPr>
          <w:rFonts w:ascii="Times New Roman" w:hAnsi="Times New Roman" w:cs="Times New Roman"/>
          <w:sz w:val="24"/>
          <w:szCs w:val="24"/>
        </w:rPr>
        <w:t xml:space="preserve"> in the </w:t>
      </w:r>
      <w:r w:rsidR="006F7404">
        <w:rPr>
          <w:rFonts w:ascii="Times New Roman" w:hAnsi="Times New Roman" w:cs="Times New Roman"/>
          <w:sz w:val="24"/>
          <w:szCs w:val="24"/>
        </w:rPr>
        <w:t xml:space="preserve">Malaysian </w:t>
      </w:r>
      <w:r w:rsidR="00DA6272" w:rsidRPr="004B502E">
        <w:rPr>
          <w:rFonts w:ascii="Times New Roman" w:hAnsi="Times New Roman" w:cs="Times New Roman"/>
          <w:sz w:val="24"/>
          <w:szCs w:val="24"/>
        </w:rPr>
        <w:t>economy (</w:t>
      </w:r>
      <w:r w:rsidR="00BC315F" w:rsidRPr="004B502E">
        <w:rPr>
          <w:rFonts w:ascii="Times New Roman" w:hAnsi="Times New Roman" w:cs="Times New Roman"/>
          <w:sz w:val="24"/>
          <w:szCs w:val="24"/>
        </w:rPr>
        <w:t>Kok</w:t>
      </w:r>
      <w:r w:rsidR="00DA6272" w:rsidRPr="004B502E">
        <w:rPr>
          <w:rFonts w:ascii="Times New Roman" w:hAnsi="Times New Roman" w:cs="Times New Roman"/>
          <w:sz w:val="24"/>
          <w:szCs w:val="24"/>
        </w:rPr>
        <w:t xml:space="preserve"> et al., 2012). </w:t>
      </w:r>
      <w:r w:rsidR="00BC315F" w:rsidRPr="004B502E">
        <w:rPr>
          <w:rFonts w:ascii="Times New Roman" w:hAnsi="Times New Roman" w:cs="Times New Roman"/>
          <w:sz w:val="24"/>
          <w:szCs w:val="24"/>
        </w:rPr>
        <w:t>Kok</w:t>
      </w:r>
      <w:r w:rsidR="00DF2073" w:rsidRPr="004B502E">
        <w:rPr>
          <w:rFonts w:ascii="Times New Roman" w:hAnsi="Times New Roman" w:cs="Times New Roman"/>
          <w:sz w:val="24"/>
          <w:szCs w:val="24"/>
        </w:rPr>
        <w:t xml:space="preserve"> et al. (2012) </w:t>
      </w:r>
      <w:r w:rsidR="006A7F6D" w:rsidRPr="004B502E">
        <w:rPr>
          <w:rFonts w:ascii="Times New Roman" w:hAnsi="Times New Roman" w:cs="Times New Roman"/>
          <w:sz w:val="24"/>
          <w:szCs w:val="24"/>
        </w:rPr>
        <w:t xml:space="preserve">and </w:t>
      </w:r>
      <w:r w:rsidR="00DF2073" w:rsidRPr="004B502E">
        <w:rPr>
          <w:rFonts w:ascii="Times New Roman" w:hAnsi="Times New Roman" w:cs="Times New Roman"/>
          <w:sz w:val="24"/>
          <w:szCs w:val="24"/>
        </w:rPr>
        <w:t>Srairi (2009)</w:t>
      </w:r>
      <w:r w:rsidR="009A561A" w:rsidRPr="004B502E">
        <w:rPr>
          <w:rFonts w:ascii="Times New Roman" w:hAnsi="Times New Roman" w:cs="Times New Roman"/>
          <w:sz w:val="24"/>
          <w:szCs w:val="24"/>
        </w:rPr>
        <w:t xml:space="preserve"> </w:t>
      </w:r>
      <w:r w:rsidR="006C3E08" w:rsidRPr="004B502E">
        <w:rPr>
          <w:rFonts w:ascii="Times New Roman" w:hAnsi="Times New Roman" w:cs="Times New Roman"/>
          <w:sz w:val="24"/>
          <w:szCs w:val="24"/>
        </w:rPr>
        <w:t xml:space="preserve">found </w:t>
      </w:r>
      <w:r w:rsidR="009A561A" w:rsidRPr="004B502E">
        <w:rPr>
          <w:rFonts w:ascii="Times New Roman" w:hAnsi="Times New Roman" w:cs="Times New Roman"/>
          <w:sz w:val="24"/>
          <w:szCs w:val="24"/>
        </w:rPr>
        <w:t xml:space="preserve">a </w:t>
      </w:r>
      <w:r w:rsidR="006C3E08" w:rsidRPr="004B502E">
        <w:rPr>
          <w:rFonts w:ascii="Times New Roman" w:hAnsi="Times New Roman" w:cs="Times New Roman"/>
          <w:sz w:val="24"/>
          <w:szCs w:val="24"/>
        </w:rPr>
        <w:t xml:space="preserve">positive and statistically significant effect </w:t>
      </w:r>
      <w:r w:rsidR="006A7F6D" w:rsidRPr="004B502E">
        <w:rPr>
          <w:rFonts w:ascii="Times New Roman" w:hAnsi="Times New Roman" w:cs="Times New Roman"/>
          <w:sz w:val="24"/>
          <w:szCs w:val="24"/>
        </w:rPr>
        <w:t xml:space="preserve">of this variable </w:t>
      </w:r>
      <w:r w:rsidR="006C3E08" w:rsidRPr="004B502E">
        <w:rPr>
          <w:rFonts w:ascii="Times New Roman" w:hAnsi="Times New Roman" w:cs="Times New Roman"/>
          <w:sz w:val="24"/>
          <w:szCs w:val="24"/>
        </w:rPr>
        <w:t xml:space="preserve">on the performance of </w:t>
      </w:r>
      <w:r w:rsidR="00852351">
        <w:rPr>
          <w:rFonts w:ascii="Times New Roman" w:hAnsi="Times New Roman" w:cs="Times New Roman"/>
          <w:sz w:val="24"/>
          <w:szCs w:val="24"/>
        </w:rPr>
        <w:t>Islamic banks</w:t>
      </w:r>
      <w:r w:rsidR="006C3E08" w:rsidRPr="004B502E">
        <w:rPr>
          <w:rFonts w:ascii="Times New Roman" w:hAnsi="Times New Roman" w:cs="Times New Roman"/>
          <w:sz w:val="24"/>
          <w:szCs w:val="24"/>
        </w:rPr>
        <w:t>.</w:t>
      </w:r>
      <w:r w:rsidR="006A7F6D" w:rsidRPr="004B502E">
        <w:rPr>
          <w:rFonts w:ascii="Times New Roman" w:hAnsi="Times New Roman" w:cs="Times New Roman"/>
          <w:sz w:val="24"/>
          <w:szCs w:val="24"/>
        </w:rPr>
        <w:t xml:space="preserve"> The same positive effect </w:t>
      </w:r>
      <w:r w:rsidR="006F7404">
        <w:rPr>
          <w:rFonts w:ascii="Times New Roman" w:hAnsi="Times New Roman" w:cs="Times New Roman"/>
          <w:sz w:val="24"/>
          <w:szCs w:val="24"/>
        </w:rPr>
        <w:t xml:space="preserve">of the money supply </w:t>
      </w:r>
      <w:r w:rsidR="006A7F6D" w:rsidRPr="004B502E">
        <w:rPr>
          <w:rFonts w:ascii="Times New Roman" w:hAnsi="Times New Roman" w:cs="Times New Roman"/>
          <w:sz w:val="24"/>
          <w:szCs w:val="24"/>
        </w:rPr>
        <w:t>is expected here</w:t>
      </w:r>
      <w:r w:rsidR="006F7404">
        <w:rPr>
          <w:rFonts w:ascii="Times New Roman" w:hAnsi="Times New Roman" w:cs="Times New Roman"/>
          <w:sz w:val="24"/>
          <w:szCs w:val="24"/>
        </w:rPr>
        <w:t>, and</w:t>
      </w:r>
      <w:r w:rsidR="006A7F6D" w:rsidRPr="004B502E">
        <w:rPr>
          <w:rFonts w:ascii="Times New Roman" w:hAnsi="Times New Roman" w:cs="Times New Roman"/>
          <w:sz w:val="24"/>
          <w:szCs w:val="24"/>
        </w:rPr>
        <w:t xml:space="preserve"> </w:t>
      </w:r>
      <w:r w:rsidR="00D06CEE" w:rsidRPr="004B502E">
        <w:rPr>
          <w:rFonts w:ascii="Times New Roman" w:hAnsi="Times New Roman" w:cs="Times New Roman"/>
          <w:sz w:val="24"/>
          <w:szCs w:val="24"/>
        </w:rPr>
        <w:t xml:space="preserve">will </w:t>
      </w:r>
      <w:r w:rsidR="006F7404">
        <w:rPr>
          <w:rFonts w:ascii="Times New Roman" w:hAnsi="Times New Roman" w:cs="Times New Roman"/>
          <w:sz w:val="24"/>
          <w:szCs w:val="24"/>
        </w:rPr>
        <w:t xml:space="preserve">therefore </w:t>
      </w:r>
      <w:r w:rsidR="00D06CEE" w:rsidRPr="004B502E">
        <w:rPr>
          <w:rFonts w:ascii="Times New Roman" w:hAnsi="Times New Roman" w:cs="Times New Roman"/>
          <w:sz w:val="24"/>
          <w:szCs w:val="24"/>
        </w:rPr>
        <w:t xml:space="preserve">be </w:t>
      </w:r>
      <w:r w:rsidR="006A7F6D" w:rsidRPr="004B502E">
        <w:rPr>
          <w:rFonts w:ascii="Times New Roman" w:hAnsi="Times New Roman" w:cs="Times New Roman"/>
          <w:sz w:val="24"/>
          <w:szCs w:val="24"/>
        </w:rPr>
        <w:t xml:space="preserve">included in this study as an external variable because money supply </w:t>
      </w:r>
      <w:r w:rsidR="006F7404">
        <w:rPr>
          <w:rFonts w:ascii="Times New Roman" w:hAnsi="Times New Roman" w:cs="Times New Roman"/>
          <w:sz w:val="24"/>
          <w:szCs w:val="24"/>
        </w:rPr>
        <w:t>reflect</w:t>
      </w:r>
      <w:r w:rsidR="006F7404" w:rsidRPr="004B502E">
        <w:rPr>
          <w:rFonts w:ascii="Times New Roman" w:hAnsi="Times New Roman" w:cs="Times New Roman"/>
          <w:sz w:val="24"/>
          <w:szCs w:val="24"/>
        </w:rPr>
        <w:t xml:space="preserve">s </w:t>
      </w:r>
      <w:r w:rsidR="006A7F6D" w:rsidRPr="004B502E">
        <w:rPr>
          <w:rFonts w:ascii="Times New Roman" w:hAnsi="Times New Roman" w:cs="Times New Roman"/>
          <w:sz w:val="24"/>
          <w:szCs w:val="24"/>
        </w:rPr>
        <w:t>the macroeconomic condition</w:t>
      </w:r>
      <w:r w:rsidR="006F7404">
        <w:rPr>
          <w:rFonts w:ascii="Times New Roman" w:hAnsi="Times New Roman" w:cs="Times New Roman"/>
          <w:sz w:val="24"/>
          <w:szCs w:val="24"/>
        </w:rPr>
        <w:t>s</w:t>
      </w:r>
      <w:r w:rsidR="006A7F6D" w:rsidRPr="004B502E">
        <w:rPr>
          <w:rFonts w:ascii="Times New Roman" w:hAnsi="Times New Roman" w:cs="Times New Roman"/>
          <w:sz w:val="24"/>
          <w:szCs w:val="24"/>
        </w:rPr>
        <w:t xml:space="preserve"> within</w:t>
      </w:r>
      <w:r w:rsidR="009A561A" w:rsidRPr="004B502E">
        <w:rPr>
          <w:rFonts w:ascii="Times New Roman" w:hAnsi="Times New Roman" w:cs="Times New Roman"/>
          <w:sz w:val="24"/>
          <w:szCs w:val="24"/>
        </w:rPr>
        <w:t xml:space="preserve"> a</w:t>
      </w:r>
      <w:r w:rsidR="006A7F6D" w:rsidRPr="004B502E">
        <w:rPr>
          <w:rFonts w:ascii="Times New Roman" w:hAnsi="Times New Roman" w:cs="Times New Roman"/>
          <w:sz w:val="24"/>
          <w:szCs w:val="24"/>
        </w:rPr>
        <w:t xml:space="preserve"> country</w:t>
      </w:r>
      <w:r w:rsidR="006F7404">
        <w:rPr>
          <w:rFonts w:ascii="Times New Roman" w:hAnsi="Times New Roman" w:cs="Times New Roman"/>
          <w:sz w:val="24"/>
          <w:szCs w:val="24"/>
        </w:rPr>
        <w:t>,</w:t>
      </w:r>
      <w:r w:rsidR="006A7F6D" w:rsidRPr="004B502E">
        <w:rPr>
          <w:rFonts w:ascii="Times New Roman" w:hAnsi="Times New Roman" w:cs="Times New Roman"/>
          <w:sz w:val="24"/>
          <w:szCs w:val="24"/>
        </w:rPr>
        <w:t xml:space="preserve"> which influence</w:t>
      </w:r>
      <w:r w:rsidR="006F7404">
        <w:rPr>
          <w:rFonts w:ascii="Times New Roman" w:hAnsi="Times New Roman" w:cs="Times New Roman"/>
          <w:sz w:val="24"/>
          <w:szCs w:val="24"/>
        </w:rPr>
        <w:t>s</w:t>
      </w:r>
      <w:r w:rsidR="006A7F6D" w:rsidRPr="004B502E">
        <w:rPr>
          <w:rFonts w:ascii="Times New Roman" w:hAnsi="Times New Roman" w:cs="Times New Roman"/>
          <w:sz w:val="24"/>
          <w:szCs w:val="24"/>
        </w:rPr>
        <w:t xml:space="preserve"> the performance of </w:t>
      </w:r>
      <w:r w:rsidR="00852351">
        <w:rPr>
          <w:rFonts w:ascii="Times New Roman" w:hAnsi="Times New Roman" w:cs="Times New Roman"/>
          <w:sz w:val="24"/>
          <w:szCs w:val="24"/>
        </w:rPr>
        <w:t>Islamic banks</w:t>
      </w:r>
      <w:r w:rsidR="006A7F6D" w:rsidRPr="004B502E">
        <w:rPr>
          <w:rFonts w:ascii="Times New Roman" w:hAnsi="Times New Roman" w:cs="Times New Roman"/>
          <w:sz w:val="24"/>
          <w:szCs w:val="24"/>
        </w:rPr>
        <w:t xml:space="preserve"> by affecting the financial </w:t>
      </w:r>
      <w:r w:rsidR="006F7404">
        <w:rPr>
          <w:rFonts w:ascii="Times New Roman" w:hAnsi="Times New Roman" w:cs="Times New Roman"/>
          <w:sz w:val="24"/>
          <w:szCs w:val="24"/>
        </w:rPr>
        <w:t>situation</w:t>
      </w:r>
      <w:r w:rsidR="006F7404" w:rsidRPr="004B502E">
        <w:rPr>
          <w:rFonts w:ascii="Times New Roman" w:hAnsi="Times New Roman" w:cs="Times New Roman"/>
          <w:sz w:val="24"/>
          <w:szCs w:val="24"/>
        </w:rPr>
        <w:t xml:space="preserve"> </w:t>
      </w:r>
      <w:r w:rsidR="006A7F6D" w:rsidRPr="004B502E">
        <w:rPr>
          <w:rFonts w:ascii="Times New Roman" w:hAnsi="Times New Roman" w:cs="Times New Roman"/>
          <w:sz w:val="24"/>
          <w:szCs w:val="24"/>
        </w:rPr>
        <w:t xml:space="preserve">of customers. </w:t>
      </w:r>
    </w:p>
    <w:p w:rsidR="002C2239" w:rsidRPr="004B502E" w:rsidRDefault="00662D84" w:rsidP="00C73B68">
      <w:pPr>
        <w:spacing w:line="480" w:lineRule="auto"/>
        <w:ind w:firstLine="720"/>
        <w:rPr>
          <w:rFonts w:ascii="Times New Roman" w:hAnsi="Times New Roman" w:cs="Times New Roman"/>
          <w:sz w:val="24"/>
          <w:szCs w:val="24"/>
        </w:rPr>
      </w:pPr>
      <w:r w:rsidRPr="00662D84">
        <w:rPr>
          <w:rFonts w:ascii="Times New Roman" w:hAnsi="Times New Roman" w:cs="Times New Roman"/>
          <w:sz w:val="24"/>
          <w:szCs w:val="24"/>
        </w:rPr>
        <w:t xml:space="preserve">The </w:t>
      </w:r>
      <w:r w:rsidR="005C155D" w:rsidRPr="004B502E">
        <w:rPr>
          <w:rFonts w:ascii="Times New Roman" w:hAnsi="Times New Roman" w:cs="Times New Roman"/>
          <w:b/>
          <w:sz w:val="24"/>
          <w:szCs w:val="24"/>
        </w:rPr>
        <w:t xml:space="preserve">taxation indicator variable </w:t>
      </w:r>
      <w:r w:rsidR="005C155D" w:rsidRPr="004B502E">
        <w:rPr>
          <w:rFonts w:ascii="Times New Roman" w:hAnsi="Times New Roman" w:cs="Times New Roman"/>
          <w:sz w:val="24"/>
          <w:szCs w:val="24"/>
        </w:rPr>
        <w:t>(t</w:t>
      </w:r>
      <w:r w:rsidR="004C0E38" w:rsidRPr="004B502E">
        <w:rPr>
          <w:rFonts w:ascii="Times New Roman" w:hAnsi="Times New Roman" w:cs="Times New Roman"/>
          <w:sz w:val="24"/>
          <w:szCs w:val="24"/>
        </w:rPr>
        <w:t xml:space="preserve">he ratio of total taxes </w:t>
      </w:r>
      <w:r w:rsidR="00D06CEE" w:rsidRPr="004B502E">
        <w:rPr>
          <w:rFonts w:ascii="Times New Roman" w:hAnsi="Times New Roman" w:cs="Times New Roman"/>
          <w:sz w:val="24"/>
          <w:szCs w:val="24"/>
        </w:rPr>
        <w:t>over</w:t>
      </w:r>
      <w:r w:rsidR="004C0E38" w:rsidRPr="004B502E">
        <w:rPr>
          <w:rFonts w:ascii="Times New Roman" w:hAnsi="Times New Roman" w:cs="Times New Roman"/>
          <w:sz w:val="24"/>
          <w:szCs w:val="24"/>
        </w:rPr>
        <w:t xml:space="preserve"> </w:t>
      </w:r>
      <w:r w:rsidR="006F7404" w:rsidRPr="004B502E">
        <w:rPr>
          <w:rFonts w:ascii="Times New Roman" w:hAnsi="Times New Roman" w:cs="Times New Roman"/>
          <w:sz w:val="24"/>
          <w:szCs w:val="24"/>
        </w:rPr>
        <w:t>before</w:t>
      </w:r>
      <w:r w:rsidR="006F7404">
        <w:rPr>
          <w:rFonts w:ascii="Times New Roman" w:hAnsi="Times New Roman" w:cs="Times New Roman"/>
          <w:sz w:val="24"/>
          <w:szCs w:val="24"/>
        </w:rPr>
        <w:t>-</w:t>
      </w:r>
      <w:r w:rsidR="005C155D" w:rsidRPr="004B502E">
        <w:rPr>
          <w:rFonts w:ascii="Times New Roman" w:hAnsi="Times New Roman" w:cs="Times New Roman"/>
          <w:sz w:val="24"/>
          <w:szCs w:val="24"/>
        </w:rPr>
        <w:t xml:space="preserve">tax profits for each bank) represents the effect of tax rates imposed on </w:t>
      </w:r>
      <w:r w:rsidR="00852351">
        <w:rPr>
          <w:rFonts w:ascii="Times New Roman" w:hAnsi="Times New Roman" w:cs="Times New Roman"/>
          <w:sz w:val="24"/>
          <w:szCs w:val="24"/>
        </w:rPr>
        <w:t>Islamic banks</w:t>
      </w:r>
      <w:r w:rsidR="006A7F6D" w:rsidRPr="004B502E">
        <w:rPr>
          <w:rFonts w:ascii="Times New Roman" w:hAnsi="Times New Roman" w:cs="Times New Roman"/>
          <w:sz w:val="24"/>
          <w:szCs w:val="24"/>
        </w:rPr>
        <w:t xml:space="preserve"> of Malaysia. Each bank</w:t>
      </w:r>
      <w:r w:rsidR="005C155D" w:rsidRPr="004B502E">
        <w:rPr>
          <w:rFonts w:ascii="Times New Roman" w:hAnsi="Times New Roman" w:cs="Times New Roman"/>
          <w:sz w:val="24"/>
          <w:szCs w:val="24"/>
        </w:rPr>
        <w:t xml:space="preserve"> in the country, based on regulation, </w:t>
      </w:r>
      <w:r w:rsidR="006F7404">
        <w:rPr>
          <w:rFonts w:ascii="Times New Roman" w:hAnsi="Times New Roman" w:cs="Times New Roman"/>
          <w:sz w:val="24"/>
          <w:szCs w:val="24"/>
        </w:rPr>
        <w:t>must</w:t>
      </w:r>
      <w:r w:rsidR="005C155D" w:rsidRPr="004B502E">
        <w:rPr>
          <w:rFonts w:ascii="Times New Roman" w:hAnsi="Times New Roman" w:cs="Times New Roman"/>
          <w:sz w:val="24"/>
          <w:szCs w:val="24"/>
        </w:rPr>
        <w:t xml:space="preserve"> pay taxes. Howeve</w:t>
      </w:r>
      <w:r w:rsidR="00075149" w:rsidRPr="004B502E">
        <w:rPr>
          <w:rFonts w:ascii="Times New Roman" w:hAnsi="Times New Roman" w:cs="Times New Roman"/>
          <w:sz w:val="24"/>
          <w:szCs w:val="24"/>
        </w:rPr>
        <w:t xml:space="preserve">r, high tax </w:t>
      </w:r>
      <w:r w:rsidR="009A561A" w:rsidRPr="004B502E">
        <w:rPr>
          <w:rFonts w:ascii="Times New Roman" w:hAnsi="Times New Roman" w:cs="Times New Roman"/>
          <w:sz w:val="24"/>
          <w:szCs w:val="24"/>
        </w:rPr>
        <w:t xml:space="preserve">rates </w:t>
      </w:r>
      <w:r w:rsidR="00075149" w:rsidRPr="004B502E">
        <w:rPr>
          <w:rFonts w:ascii="Times New Roman" w:hAnsi="Times New Roman" w:cs="Times New Roman"/>
          <w:sz w:val="24"/>
          <w:szCs w:val="24"/>
        </w:rPr>
        <w:t>could discourage</w:t>
      </w:r>
      <w:r w:rsidR="005C155D" w:rsidRPr="004B502E">
        <w:rPr>
          <w:rFonts w:ascii="Times New Roman" w:hAnsi="Times New Roman" w:cs="Times New Roman"/>
          <w:sz w:val="24"/>
          <w:szCs w:val="24"/>
        </w:rPr>
        <w:t xml:space="preserve"> local banks and foreign investors from entering the local Islamic banking market. </w:t>
      </w:r>
      <w:r w:rsidR="006A7F6D" w:rsidRPr="004B502E">
        <w:rPr>
          <w:rFonts w:ascii="Times New Roman" w:hAnsi="Times New Roman" w:cs="Times New Roman"/>
          <w:sz w:val="24"/>
          <w:szCs w:val="24"/>
        </w:rPr>
        <w:t xml:space="preserve">Furthermore, </w:t>
      </w:r>
      <w:r w:rsidR="00852351">
        <w:rPr>
          <w:rFonts w:ascii="Times New Roman" w:hAnsi="Times New Roman" w:cs="Times New Roman"/>
          <w:sz w:val="24"/>
          <w:szCs w:val="24"/>
        </w:rPr>
        <w:t>Islamic banks</w:t>
      </w:r>
      <w:r w:rsidR="006A7F6D" w:rsidRPr="004B502E">
        <w:rPr>
          <w:rFonts w:ascii="Times New Roman" w:hAnsi="Times New Roman" w:cs="Times New Roman"/>
          <w:sz w:val="24"/>
          <w:szCs w:val="24"/>
        </w:rPr>
        <w:t xml:space="preserve"> pay an additional religious tax called </w:t>
      </w:r>
      <w:r w:rsidR="006A7F6D" w:rsidRPr="004B502E">
        <w:rPr>
          <w:rFonts w:ascii="Times New Roman" w:hAnsi="Times New Roman" w:cs="Times New Roman"/>
          <w:i/>
          <w:sz w:val="24"/>
          <w:szCs w:val="24"/>
        </w:rPr>
        <w:t>Zakat</w:t>
      </w:r>
      <w:r w:rsidR="006A7F6D" w:rsidRPr="004B502E">
        <w:rPr>
          <w:rFonts w:ascii="Times New Roman" w:hAnsi="Times New Roman" w:cs="Times New Roman"/>
          <w:sz w:val="24"/>
          <w:szCs w:val="24"/>
        </w:rPr>
        <w:t>, which affect</w:t>
      </w:r>
      <w:r w:rsidR="002C2239" w:rsidRPr="004B502E">
        <w:rPr>
          <w:rFonts w:ascii="Times New Roman" w:hAnsi="Times New Roman" w:cs="Times New Roman"/>
          <w:sz w:val="24"/>
          <w:szCs w:val="24"/>
        </w:rPr>
        <w:t>s</w:t>
      </w:r>
      <w:r w:rsidR="006A7F6D" w:rsidRPr="004B502E">
        <w:rPr>
          <w:rFonts w:ascii="Times New Roman" w:hAnsi="Times New Roman" w:cs="Times New Roman"/>
          <w:sz w:val="24"/>
          <w:szCs w:val="24"/>
        </w:rPr>
        <w:t xml:space="preserve"> their profits. </w:t>
      </w:r>
      <w:r w:rsidR="005C155D" w:rsidRPr="004B502E">
        <w:rPr>
          <w:rFonts w:ascii="Times New Roman" w:hAnsi="Times New Roman" w:cs="Times New Roman"/>
          <w:sz w:val="24"/>
          <w:szCs w:val="24"/>
        </w:rPr>
        <w:t xml:space="preserve">Bashir (2003) </w:t>
      </w:r>
      <w:r w:rsidR="006F7404" w:rsidRPr="004B502E">
        <w:rPr>
          <w:rFonts w:ascii="Times New Roman" w:hAnsi="Times New Roman" w:cs="Times New Roman"/>
          <w:sz w:val="24"/>
          <w:szCs w:val="24"/>
        </w:rPr>
        <w:t xml:space="preserve">used </w:t>
      </w:r>
      <w:r w:rsidR="005C155D" w:rsidRPr="004B502E">
        <w:rPr>
          <w:rFonts w:ascii="Times New Roman" w:hAnsi="Times New Roman" w:cs="Times New Roman"/>
          <w:sz w:val="24"/>
          <w:szCs w:val="24"/>
        </w:rPr>
        <w:t>this variable as a</w:t>
      </w:r>
      <w:r w:rsidR="00C80F0F" w:rsidRPr="004B502E">
        <w:rPr>
          <w:rFonts w:ascii="Times New Roman" w:hAnsi="Times New Roman" w:cs="Times New Roman"/>
          <w:sz w:val="24"/>
          <w:szCs w:val="24"/>
        </w:rPr>
        <w:t>n external control variable.</w:t>
      </w:r>
      <w:r w:rsidR="005C155D" w:rsidRPr="004B502E">
        <w:rPr>
          <w:rFonts w:ascii="Times New Roman" w:hAnsi="Times New Roman" w:cs="Times New Roman"/>
          <w:sz w:val="24"/>
          <w:szCs w:val="24"/>
        </w:rPr>
        <w:t xml:space="preserve"> </w:t>
      </w:r>
    </w:p>
    <w:p w:rsidR="00DA6272" w:rsidRPr="004B502E" w:rsidRDefault="00C80F0F" w:rsidP="00C73B68">
      <w:pPr>
        <w:spacing w:line="480" w:lineRule="auto"/>
        <w:ind w:firstLine="720"/>
        <w:rPr>
          <w:rFonts w:ascii="Times New Roman" w:hAnsi="Times New Roman" w:cs="Times New Roman"/>
          <w:sz w:val="24"/>
          <w:szCs w:val="24"/>
        </w:rPr>
      </w:pPr>
      <w:r w:rsidRPr="004B502E">
        <w:rPr>
          <w:rFonts w:ascii="Times New Roman" w:hAnsi="Times New Roman" w:cs="Times New Roman"/>
          <w:sz w:val="24"/>
          <w:szCs w:val="24"/>
        </w:rPr>
        <w:t xml:space="preserve">In this </w:t>
      </w:r>
      <w:r w:rsidR="00C03865">
        <w:rPr>
          <w:rFonts w:ascii="Times New Roman" w:hAnsi="Times New Roman" w:cs="Times New Roman"/>
          <w:sz w:val="24"/>
          <w:szCs w:val="24"/>
        </w:rPr>
        <w:t>study, we will</w:t>
      </w:r>
      <w:r w:rsidR="006A7F6D" w:rsidRPr="004B502E">
        <w:rPr>
          <w:rFonts w:ascii="Times New Roman" w:hAnsi="Times New Roman" w:cs="Times New Roman"/>
          <w:sz w:val="24"/>
          <w:szCs w:val="24"/>
        </w:rPr>
        <w:t xml:space="preserve"> use </w:t>
      </w:r>
      <w:r w:rsidR="002C2239" w:rsidRPr="004B502E">
        <w:rPr>
          <w:rFonts w:ascii="Times New Roman" w:hAnsi="Times New Roman" w:cs="Times New Roman"/>
          <w:sz w:val="24"/>
          <w:szCs w:val="24"/>
        </w:rPr>
        <w:t xml:space="preserve">the taxation indicator variable </w:t>
      </w:r>
      <w:r w:rsidR="006A7F6D" w:rsidRPr="004B502E">
        <w:rPr>
          <w:rFonts w:ascii="Times New Roman" w:hAnsi="Times New Roman" w:cs="Times New Roman"/>
          <w:sz w:val="24"/>
          <w:szCs w:val="24"/>
        </w:rPr>
        <w:t xml:space="preserve">as </w:t>
      </w:r>
      <w:r w:rsidRPr="004B502E">
        <w:rPr>
          <w:rFonts w:ascii="Times New Roman" w:hAnsi="Times New Roman" w:cs="Times New Roman"/>
          <w:sz w:val="24"/>
          <w:szCs w:val="24"/>
        </w:rPr>
        <w:t xml:space="preserve">an external variable </w:t>
      </w:r>
      <w:r w:rsidR="001B78B7" w:rsidRPr="004B502E">
        <w:rPr>
          <w:rFonts w:ascii="Times New Roman" w:hAnsi="Times New Roman" w:cs="Times New Roman"/>
          <w:sz w:val="24"/>
          <w:szCs w:val="24"/>
        </w:rPr>
        <w:t>to measure</w:t>
      </w:r>
      <w:r w:rsidRPr="004B502E">
        <w:rPr>
          <w:rFonts w:ascii="Times New Roman" w:hAnsi="Times New Roman" w:cs="Times New Roman"/>
          <w:sz w:val="24"/>
          <w:szCs w:val="24"/>
        </w:rPr>
        <w:t xml:space="preserve"> </w:t>
      </w:r>
      <w:r w:rsidR="002C2239" w:rsidRPr="004B502E">
        <w:rPr>
          <w:rFonts w:ascii="Times New Roman" w:hAnsi="Times New Roman" w:cs="Times New Roman"/>
          <w:sz w:val="24"/>
          <w:szCs w:val="24"/>
        </w:rPr>
        <w:t>the effect of</w:t>
      </w:r>
      <w:r w:rsidR="001B78B7" w:rsidRPr="004B502E">
        <w:rPr>
          <w:rFonts w:ascii="Times New Roman" w:hAnsi="Times New Roman" w:cs="Times New Roman"/>
          <w:sz w:val="24"/>
          <w:szCs w:val="24"/>
        </w:rPr>
        <w:t xml:space="preserve"> tax</w:t>
      </w:r>
      <w:r w:rsidR="002C2239" w:rsidRPr="004B502E">
        <w:rPr>
          <w:rFonts w:ascii="Times New Roman" w:hAnsi="Times New Roman" w:cs="Times New Roman"/>
          <w:sz w:val="24"/>
          <w:szCs w:val="24"/>
        </w:rPr>
        <w:t xml:space="preserve"> </w:t>
      </w:r>
      <w:r w:rsidRPr="004B502E">
        <w:rPr>
          <w:rFonts w:ascii="Times New Roman" w:hAnsi="Times New Roman" w:cs="Times New Roman"/>
          <w:sz w:val="24"/>
          <w:szCs w:val="24"/>
        </w:rPr>
        <w:t xml:space="preserve">regulations </w:t>
      </w:r>
      <w:r w:rsidR="002C2239" w:rsidRPr="004B502E">
        <w:rPr>
          <w:rFonts w:ascii="Times New Roman" w:hAnsi="Times New Roman" w:cs="Times New Roman"/>
          <w:sz w:val="24"/>
          <w:szCs w:val="24"/>
        </w:rPr>
        <w:t xml:space="preserve">in Malaysia </w:t>
      </w:r>
      <w:r w:rsidRPr="004B502E">
        <w:rPr>
          <w:rFonts w:ascii="Times New Roman" w:hAnsi="Times New Roman" w:cs="Times New Roman"/>
          <w:sz w:val="24"/>
          <w:szCs w:val="24"/>
        </w:rPr>
        <w:t xml:space="preserve">on the performance of </w:t>
      </w:r>
      <w:r w:rsidR="00852351">
        <w:rPr>
          <w:rFonts w:ascii="Times New Roman" w:hAnsi="Times New Roman" w:cs="Times New Roman"/>
          <w:sz w:val="24"/>
          <w:szCs w:val="24"/>
        </w:rPr>
        <w:t>Islamic banks</w:t>
      </w:r>
      <w:r w:rsidRPr="004B502E">
        <w:rPr>
          <w:rFonts w:ascii="Times New Roman" w:hAnsi="Times New Roman" w:cs="Times New Roman"/>
          <w:sz w:val="24"/>
          <w:szCs w:val="24"/>
        </w:rPr>
        <w:t>. Bashir (2003)</w:t>
      </w:r>
      <w:r w:rsidR="006F7404">
        <w:rPr>
          <w:rFonts w:ascii="Times New Roman" w:hAnsi="Times New Roman" w:cs="Times New Roman"/>
          <w:sz w:val="24"/>
          <w:szCs w:val="24"/>
        </w:rPr>
        <w:t xml:space="preserve"> found</w:t>
      </w:r>
      <w:r w:rsidRPr="004B502E">
        <w:rPr>
          <w:rFonts w:ascii="Times New Roman" w:hAnsi="Times New Roman" w:cs="Times New Roman"/>
          <w:sz w:val="24"/>
          <w:szCs w:val="24"/>
        </w:rPr>
        <w:t xml:space="preserve"> this ratio </w:t>
      </w:r>
      <w:r w:rsidR="00804474">
        <w:rPr>
          <w:rFonts w:ascii="Times New Roman" w:hAnsi="Times New Roman" w:cs="Times New Roman"/>
          <w:sz w:val="24"/>
          <w:szCs w:val="24"/>
        </w:rPr>
        <w:t xml:space="preserve">to have </w:t>
      </w:r>
      <w:r w:rsidRPr="004B502E">
        <w:rPr>
          <w:rFonts w:ascii="Times New Roman" w:hAnsi="Times New Roman" w:cs="Times New Roman"/>
          <w:sz w:val="24"/>
          <w:szCs w:val="24"/>
        </w:rPr>
        <w:t xml:space="preserve">a negative effect on the performance of </w:t>
      </w:r>
      <w:r w:rsidR="00852351">
        <w:rPr>
          <w:rFonts w:ascii="Times New Roman" w:hAnsi="Times New Roman" w:cs="Times New Roman"/>
          <w:sz w:val="24"/>
          <w:szCs w:val="24"/>
        </w:rPr>
        <w:t>Islamic banks</w:t>
      </w:r>
      <w:r w:rsidRPr="004B502E">
        <w:rPr>
          <w:rFonts w:ascii="Times New Roman" w:hAnsi="Times New Roman" w:cs="Times New Roman"/>
          <w:sz w:val="24"/>
          <w:szCs w:val="24"/>
        </w:rPr>
        <w:t xml:space="preserve">. </w:t>
      </w:r>
      <w:r w:rsidR="00DA6272" w:rsidRPr="004B502E">
        <w:rPr>
          <w:rFonts w:ascii="Times New Roman" w:hAnsi="Times New Roman" w:cs="Times New Roman"/>
          <w:sz w:val="24"/>
          <w:szCs w:val="24"/>
        </w:rPr>
        <w:t xml:space="preserve">We expect the taxation variable to have a negative effect on the performance of </w:t>
      </w:r>
      <w:r w:rsidR="006A7F6D" w:rsidRPr="004B502E">
        <w:rPr>
          <w:rFonts w:ascii="Times New Roman" w:hAnsi="Times New Roman" w:cs="Times New Roman"/>
          <w:sz w:val="24"/>
          <w:szCs w:val="24"/>
        </w:rPr>
        <w:t xml:space="preserve">Malaysian </w:t>
      </w:r>
      <w:r w:rsidR="00852351">
        <w:rPr>
          <w:rFonts w:ascii="Times New Roman" w:hAnsi="Times New Roman" w:cs="Times New Roman"/>
          <w:sz w:val="24"/>
          <w:szCs w:val="24"/>
        </w:rPr>
        <w:t>Islamic banks</w:t>
      </w:r>
      <w:r w:rsidR="00DA6272" w:rsidRPr="004B502E">
        <w:rPr>
          <w:rFonts w:ascii="Times New Roman" w:hAnsi="Times New Roman" w:cs="Times New Roman"/>
          <w:sz w:val="24"/>
          <w:szCs w:val="24"/>
        </w:rPr>
        <w:t xml:space="preserve">. </w:t>
      </w:r>
    </w:p>
    <w:p w:rsidR="00675B4F" w:rsidRPr="00C61B7F" w:rsidRDefault="00675B4F" w:rsidP="00C61B7F">
      <w:pPr>
        <w:spacing w:line="480" w:lineRule="auto"/>
        <w:ind w:firstLine="720"/>
        <w:rPr>
          <w:rFonts w:ascii="Times New Roman" w:hAnsi="Times New Roman" w:cs="Times New Roman"/>
          <w:sz w:val="24"/>
          <w:szCs w:val="24"/>
        </w:rPr>
      </w:pPr>
      <w:bookmarkStart w:id="20" w:name="_Toc346718439"/>
      <w:r w:rsidRPr="00C61B7F">
        <w:rPr>
          <w:rStyle w:val="Heading3Char"/>
          <w:rFonts w:ascii="Times New Roman" w:hAnsi="Times New Roman" w:cs="Times New Roman"/>
          <w:color w:val="auto"/>
          <w:sz w:val="24"/>
          <w:szCs w:val="24"/>
        </w:rPr>
        <w:t>3.2.3. Moderator variables</w:t>
      </w:r>
      <w:bookmarkEnd w:id="20"/>
      <w:r w:rsidRPr="00C61B7F">
        <w:rPr>
          <w:rFonts w:ascii="Times New Roman" w:hAnsi="Times New Roman" w:cs="Times New Roman"/>
          <w:sz w:val="24"/>
          <w:szCs w:val="24"/>
        </w:rPr>
        <w:t>.</w:t>
      </w:r>
      <w:r w:rsidR="00825481" w:rsidRPr="00C61B7F">
        <w:rPr>
          <w:rFonts w:ascii="Times New Roman" w:hAnsi="Times New Roman" w:cs="Times New Roman"/>
          <w:sz w:val="24"/>
          <w:szCs w:val="24"/>
        </w:rPr>
        <w:t xml:space="preserve"> Two moderator variables, namely bank maturity and the financial crisis variable, will be included in the study. </w:t>
      </w:r>
    </w:p>
    <w:p w:rsidR="00675B4F" w:rsidRPr="004B502E" w:rsidRDefault="00675B4F" w:rsidP="00675B4F">
      <w:pPr>
        <w:spacing w:line="480" w:lineRule="auto"/>
        <w:ind w:firstLine="720"/>
        <w:rPr>
          <w:rFonts w:ascii="Times New Roman" w:hAnsi="Times New Roman" w:cs="Times New Roman"/>
          <w:sz w:val="24"/>
          <w:szCs w:val="24"/>
        </w:rPr>
      </w:pPr>
      <w:r w:rsidRPr="004B502E">
        <w:rPr>
          <w:rFonts w:ascii="Times New Roman" w:hAnsi="Times New Roman" w:cs="Times New Roman"/>
          <w:b/>
          <w:sz w:val="24"/>
          <w:szCs w:val="24"/>
        </w:rPr>
        <w:t xml:space="preserve">Bank </w:t>
      </w:r>
      <w:r w:rsidR="003B69F0">
        <w:rPr>
          <w:rFonts w:ascii="Times New Roman" w:hAnsi="Times New Roman" w:cs="Times New Roman"/>
          <w:b/>
          <w:sz w:val="24"/>
          <w:szCs w:val="24"/>
        </w:rPr>
        <w:t>maturity</w:t>
      </w:r>
      <w:r w:rsidRPr="004B502E">
        <w:rPr>
          <w:rFonts w:ascii="Times New Roman" w:hAnsi="Times New Roman" w:cs="Times New Roman"/>
          <w:sz w:val="24"/>
          <w:szCs w:val="24"/>
        </w:rPr>
        <w:t xml:space="preserve"> represents the </w:t>
      </w:r>
      <w:r w:rsidR="001E402D">
        <w:rPr>
          <w:rFonts w:ascii="Times New Roman" w:hAnsi="Times New Roman" w:cs="Times New Roman"/>
          <w:sz w:val="24"/>
          <w:szCs w:val="24"/>
        </w:rPr>
        <w:t xml:space="preserve">number of </w:t>
      </w:r>
      <w:r w:rsidR="003B69F0">
        <w:rPr>
          <w:rFonts w:ascii="Times New Roman" w:hAnsi="Times New Roman" w:cs="Times New Roman"/>
          <w:sz w:val="24"/>
          <w:szCs w:val="24"/>
        </w:rPr>
        <w:t xml:space="preserve">years that </w:t>
      </w:r>
      <w:r w:rsidR="00852351">
        <w:rPr>
          <w:rFonts w:ascii="Times New Roman" w:hAnsi="Times New Roman" w:cs="Times New Roman"/>
          <w:sz w:val="24"/>
          <w:szCs w:val="24"/>
        </w:rPr>
        <w:t>Islamic banks</w:t>
      </w:r>
      <w:r w:rsidR="003B69F0">
        <w:rPr>
          <w:rFonts w:ascii="Times New Roman" w:hAnsi="Times New Roman" w:cs="Times New Roman"/>
          <w:sz w:val="24"/>
          <w:szCs w:val="24"/>
        </w:rPr>
        <w:t xml:space="preserve"> have been operating. </w:t>
      </w:r>
      <w:r w:rsidRPr="004B502E">
        <w:rPr>
          <w:rFonts w:ascii="Times New Roman" w:hAnsi="Times New Roman" w:cs="Times New Roman"/>
          <w:sz w:val="24"/>
          <w:szCs w:val="24"/>
        </w:rPr>
        <w:t xml:space="preserve">Zeitun (2012) used this variable as </w:t>
      </w:r>
      <w:r w:rsidR="001E402D">
        <w:rPr>
          <w:rFonts w:ascii="Times New Roman" w:hAnsi="Times New Roman" w:cs="Times New Roman"/>
          <w:sz w:val="24"/>
          <w:szCs w:val="24"/>
        </w:rPr>
        <w:t>an</w:t>
      </w:r>
      <w:r w:rsidR="001E402D" w:rsidRPr="004B502E">
        <w:rPr>
          <w:rFonts w:ascii="Times New Roman" w:hAnsi="Times New Roman" w:cs="Times New Roman"/>
          <w:sz w:val="24"/>
          <w:szCs w:val="24"/>
        </w:rPr>
        <w:t xml:space="preserve"> </w:t>
      </w:r>
      <w:r w:rsidRPr="004B502E">
        <w:rPr>
          <w:rFonts w:ascii="Times New Roman" w:hAnsi="Times New Roman" w:cs="Times New Roman"/>
          <w:sz w:val="24"/>
          <w:szCs w:val="24"/>
        </w:rPr>
        <w:t xml:space="preserve">internal factor, and came to the conclusion that the </w:t>
      </w:r>
      <w:r w:rsidR="001E402D" w:rsidRPr="004B502E">
        <w:rPr>
          <w:rFonts w:ascii="Times New Roman" w:hAnsi="Times New Roman" w:cs="Times New Roman"/>
          <w:sz w:val="24"/>
          <w:szCs w:val="24"/>
        </w:rPr>
        <w:t>bank</w:t>
      </w:r>
      <w:r w:rsidR="001E402D">
        <w:rPr>
          <w:rFonts w:ascii="Times New Roman" w:hAnsi="Times New Roman" w:cs="Times New Roman"/>
          <w:sz w:val="24"/>
          <w:szCs w:val="24"/>
        </w:rPr>
        <w:t>-</w:t>
      </w:r>
      <w:r w:rsidRPr="004B502E">
        <w:rPr>
          <w:rFonts w:ascii="Times New Roman" w:hAnsi="Times New Roman" w:cs="Times New Roman"/>
          <w:sz w:val="24"/>
          <w:szCs w:val="24"/>
        </w:rPr>
        <w:t xml:space="preserve">age variable does not have a significant effect on the performance of </w:t>
      </w:r>
      <w:r w:rsidR="00852351">
        <w:rPr>
          <w:rFonts w:ascii="Times New Roman" w:hAnsi="Times New Roman" w:cs="Times New Roman"/>
          <w:sz w:val="24"/>
          <w:szCs w:val="24"/>
        </w:rPr>
        <w:t>Islamic banks</w:t>
      </w:r>
      <w:r w:rsidRPr="004B502E">
        <w:rPr>
          <w:rFonts w:ascii="Times New Roman" w:hAnsi="Times New Roman" w:cs="Times New Roman"/>
          <w:sz w:val="24"/>
          <w:szCs w:val="24"/>
        </w:rPr>
        <w:t xml:space="preserve">. However, in the current study it is expected that the bank age variable would affect the performance in a positive way, because mature banks have more experience and expertise within the sector of operation. </w:t>
      </w:r>
    </w:p>
    <w:p w:rsidR="00675B4F" w:rsidRDefault="00C61B7F" w:rsidP="00675B4F">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T</w:t>
      </w:r>
      <w:r w:rsidR="00675B4F" w:rsidRPr="004B502E">
        <w:rPr>
          <w:rFonts w:ascii="Times New Roman" w:hAnsi="Times New Roman" w:cs="Times New Roman"/>
          <w:sz w:val="24"/>
          <w:szCs w:val="24"/>
        </w:rPr>
        <w:t>his variable will be inc</w:t>
      </w:r>
      <w:r w:rsidR="00846DD4">
        <w:rPr>
          <w:rFonts w:ascii="Times New Roman" w:hAnsi="Times New Roman" w:cs="Times New Roman"/>
          <w:sz w:val="24"/>
          <w:szCs w:val="24"/>
        </w:rPr>
        <w:t xml:space="preserve">luded </w:t>
      </w:r>
      <w:r w:rsidR="001E402D">
        <w:rPr>
          <w:rFonts w:ascii="Times New Roman" w:hAnsi="Times New Roman" w:cs="Times New Roman"/>
          <w:sz w:val="24"/>
          <w:szCs w:val="24"/>
        </w:rPr>
        <w:t>i</w:t>
      </w:r>
      <w:r w:rsidR="001E402D" w:rsidRPr="004B502E">
        <w:rPr>
          <w:rFonts w:ascii="Times New Roman" w:hAnsi="Times New Roman" w:cs="Times New Roman"/>
          <w:sz w:val="24"/>
          <w:szCs w:val="24"/>
        </w:rPr>
        <w:t xml:space="preserve">n the statistical analysis </w:t>
      </w:r>
      <w:r w:rsidR="00846DD4">
        <w:rPr>
          <w:rFonts w:ascii="Times New Roman" w:hAnsi="Times New Roman" w:cs="Times New Roman"/>
          <w:sz w:val="24"/>
          <w:szCs w:val="24"/>
        </w:rPr>
        <w:t>as a</w:t>
      </w:r>
      <w:r w:rsidR="00675B4F" w:rsidRPr="004B502E">
        <w:rPr>
          <w:rFonts w:ascii="Times New Roman" w:hAnsi="Times New Roman" w:cs="Times New Roman"/>
          <w:sz w:val="24"/>
          <w:szCs w:val="24"/>
        </w:rPr>
        <w:t xml:space="preserve"> moderator variable.</w:t>
      </w:r>
      <w:r w:rsidR="00675B4F">
        <w:rPr>
          <w:rFonts w:ascii="Times New Roman" w:hAnsi="Times New Roman" w:cs="Times New Roman"/>
          <w:sz w:val="24"/>
          <w:szCs w:val="24"/>
        </w:rPr>
        <w:t xml:space="preserve"> It will </w:t>
      </w:r>
      <w:r w:rsidR="001E402D">
        <w:rPr>
          <w:rFonts w:ascii="Times New Roman" w:hAnsi="Times New Roman" w:cs="Times New Roman"/>
          <w:sz w:val="24"/>
          <w:szCs w:val="24"/>
        </w:rPr>
        <w:t>assist in</w:t>
      </w:r>
      <w:r w:rsidR="00675B4F">
        <w:rPr>
          <w:rFonts w:ascii="Times New Roman" w:hAnsi="Times New Roman" w:cs="Times New Roman"/>
          <w:sz w:val="24"/>
          <w:szCs w:val="24"/>
        </w:rPr>
        <w:t xml:space="preserve"> </w:t>
      </w:r>
      <w:r w:rsidR="001E402D">
        <w:rPr>
          <w:rFonts w:ascii="Times New Roman" w:hAnsi="Times New Roman" w:cs="Times New Roman"/>
          <w:sz w:val="24"/>
          <w:szCs w:val="24"/>
        </w:rPr>
        <w:t xml:space="preserve">examining </w:t>
      </w:r>
      <w:r w:rsidR="00675B4F">
        <w:rPr>
          <w:rFonts w:ascii="Times New Roman" w:hAnsi="Times New Roman" w:cs="Times New Roman"/>
          <w:sz w:val="24"/>
          <w:szCs w:val="24"/>
        </w:rPr>
        <w:t>the robustness of the results obt</w:t>
      </w:r>
      <w:r w:rsidR="00846DD4">
        <w:rPr>
          <w:rFonts w:ascii="Times New Roman" w:hAnsi="Times New Roman" w:cs="Times New Roman"/>
          <w:sz w:val="24"/>
          <w:szCs w:val="24"/>
        </w:rPr>
        <w:t>ained from</w:t>
      </w:r>
      <w:r w:rsidR="00675B4F">
        <w:rPr>
          <w:rFonts w:ascii="Times New Roman" w:hAnsi="Times New Roman" w:cs="Times New Roman"/>
          <w:sz w:val="24"/>
          <w:szCs w:val="24"/>
        </w:rPr>
        <w:t xml:space="preserve"> </w:t>
      </w:r>
      <w:r w:rsidR="00846DD4">
        <w:rPr>
          <w:rFonts w:ascii="Times New Roman" w:hAnsi="Times New Roman" w:cs="Times New Roman"/>
          <w:sz w:val="24"/>
          <w:szCs w:val="24"/>
        </w:rPr>
        <w:t>the analysis</w:t>
      </w:r>
      <w:r w:rsidR="00675B4F">
        <w:rPr>
          <w:rFonts w:ascii="Times New Roman" w:hAnsi="Times New Roman" w:cs="Times New Roman"/>
          <w:sz w:val="24"/>
          <w:szCs w:val="24"/>
        </w:rPr>
        <w:t xml:space="preserve"> </w:t>
      </w:r>
      <w:r w:rsidR="00846DD4">
        <w:rPr>
          <w:rFonts w:ascii="Times New Roman" w:hAnsi="Times New Roman" w:cs="Times New Roman"/>
          <w:sz w:val="24"/>
          <w:szCs w:val="24"/>
        </w:rPr>
        <w:t xml:space="preserve">of </w:t>
      </w:r>
      <w:r w:rsidR="00675B4F">
        <w:rPr>
          <w:rFonts w:ascii="Times New Roman" w:hAnsi="Times New Roman" w:cs="Times New Roman"/>
          <w:sz w:val="24"/>
          <w:szCs w:val="24"/>
        </w:rPr>
        <w:t xml:space="preserve">the effect of </w:t>
      </w:r>
      <w:r w:rsidR="00846DD4">
        <w:rPr>
          <w:rFonts w:ascii="Times New Roman" w:hAnsi="Times New Roman" w:cs="Times New Roman"/>
          <w:sz w:val="24"/>
          <w:szCs w:val="24"/>
        </w:rPr>
        <w:t xml:space="preserve">internal and external </w:t>
      </w:r>
      <w:r w:rsidR="00675B4F">
        <w:rPr>
          <w:rFonts w:ascii="Times New Roman" w:hAnsi="Times New Roman" w:cs="Times New Roman"/>
          <w:sz w:val="24"/>
          <w:szCs w:val="24"/>
        </w:rPr>
        <w:t xml:space="preserve">factors on the performance of </w:t>
      </w:r>
      <w:r w:rsidR="00852351">
        <w:rPr>
          <w:rFonts w:ascii="Times New Roman" w:hAnsi="Times New Roman" w:cs="Times New Roman"/>
          <w:sz w:val="24"/>
          <w:szCs w:val="24"/>
        </w:rPr>
        <w:t>Islamic banks</w:t>
      </w:r>
      <w:r w:rsidR="00675B4F">
        <w:rPr>
          <w:rFonts w:ascii="Times New Roman" w:hAnsi="Times New Roman" w:cs="Times New Roman"/>
          <w:sz w:val="24"/>
          <w:szCs w:val="24"/>
        </w:rPr>
        <w:t xml:space="preserve">. </w:t>
      </w:r>
    </w:p>
    <w:p w:rsidR="00675B4F" w:rsidRDefault="00846DD4" w:rsidP="00675B4F">
      <w:pPr>
        <w:spacing w:line="480" w:lineRule="auto"/>
        <w:ind w:firstLine="720"/>
        <w:rPr>
          <w:rFonts w:ascii="Times New Roman" w:hAnsi="Times New Roman" w:cs="Times New Roman"/>
          <w:sz w:val="24"/>
          <w:szCs w:val="24"/>
        </w:rPr>
      </w:pPr>
      <w:r>
        <w:rPr>
          <w:rFonts w:ascii="Times New Roman" w:hAnsi="Times New Roman" w:cs="Times New Roman"/>
          <w:b/>
          <w:sz w:val="24"/>
          <w:szCs w:val="24"/>
        </w:rPr>
        <w:t>T</w:t>
      </w:r>
      <w:r w:rsidR="00DC0077">
        <w:rPr>
          <w:rFonts w:ascii="Times New Roman" w:hAnsi="Times New Roman" w:cs="Times New Roman"/>
          <w:b/>
          <w:sz w:val="24"/>
          <w:szCs w:val="24"/>
        </w:rPr>
        <w:t xml:space="preserve">he financial </w:t>
      </w:r>
      <w:r w:rsidR="00675B4F" w:rsidRPr="004B502E">
        <w:rPr>
          <w:rFonts w:ascii="Times New Roman" w:hAnsi="Times New Roman" w:cs="Times New Roman"/>
          <w:b/>
          <w:sz w:val="24"/>
          <w:szCs w:val="24"/>
        </w:rPr>
        <w:t xml:space="preserve">crisis </w:t>
      </w:r>
      <w:r>
        <w:rPr>
          <w:rFonts w:ascii="Times New Roman" w:hAnsi="Times New Roman" w:cs="Times New Roman"/>
          <w:b/>
          <w:sz w:val="24"/>
          <w:szCs w:val="24"/>
        </w:rPr>
        <w:t>variable (Crisis</w:t>
      </w:r>
      <w:r w:rsidR="00C61B7F">
        <w:rPr>
          <w:rFonts w:ascii="Times New Roman" w:hAnsi="Times New Roman" w:cs="Times New Roman"/>
          <w:b/>
          <w:sz w:val="24"/>
          <w:szCs w:val="24"/>
        </w:rPr>
        <w:t xml:space="preserve"> </w:t>
      </w:r>
      <w:r w:rsidR="00675B4F" w:rsidRPr="004B502E">
        <w:rPr>
          <w:rFonts w:ascii="Times New Roman" w:hAnsi="Times New Roman" w:cs="Times New Roman"/>
          <w:b/>
          <w:sz w:val="24"/>
          <w:szCs w:val="24"/>
        </w:rPr>
        <w:t>2008</w:t>
      </w:r>
      <w:r>
        <w:rPr>
          <w:rFonts w:ascii="Times New Roman" w:hAnsi="Times New Roman" w:cs="Times New Roman"/>
          <w:b/>
          <w:sz w:val="24"/>
          <w:szCs w:val="24"/>
        </w:rPr>
        <w:t>)</w:t>
      </w:r>
      <w:r w:rsidR="00675B4F" w:rsidRPr="004B502E">
        <w:rPr>
          <w:rFonts w:ascii="Times New Roman" w:hAnsi="Times New Roman" w:cs="Times New Roman"/>
          <w:b/>
          <w:sz w:val="24"/>
          <w:szCs w:val="24"/>
        </w:rPr>
        <w:t xml:space="preserve"> </w:t>
      </w:r>
      <w:r w:rsidR="00436132">
        <w:rPr>
          <w:rFonts w:ascii="Times New Roman" w:hAnsi="Times New Roman" w:cs="Times New Roman"/>
          <w:sz w:val="24"/>
          <w:szCs w:val="24"/>
        </w:rPr>
        <w:t xml:space="preserve">is a binary variable </w:t>
      </w:r>
      <w:r w:rsidR="001E402D">
        <w:rPr>
          <w:rFonts w:ascii="Times New Roman" w:hAnsi="Times New Roman" w:cs="Times New Roman"/>
          <w:sz w:val="24"/>
          <w:szCs w:val="24"/>
        </w:rPr>
        <w:t xml:space="preserve">that </w:t>
      </w:r>
      <w:r w:rsidR="00436132">
        <w:rPr>
          <w:rFonts w:ascii="Times New Roman" w:hAnsi="Times New Roman" w:cs="Times New Roman"/>
          <w:sz w:val="24"/>
          <w:szCs w:val="24"/>
        </w:rPr>
        <w:t xml:space="preserve">will </w:t>
      </w:r>
      <w:r w:rsidR="001E402D">
        <w:rPr>
          <w:rFonts w:ascii="Times New Roman" w:hAnsi="Times New Roman" w:cs="Times New Roman"/>
          <w:sz w:val="24"/>
          <w:szCs w:val="24"/>
        </w:rPr>
        <w:t xml:space="preserve">show </w:t>
      </w:r>
      <w:r w:rsidR="00DC0077">
        <w:rPr>
          <w:rFonts w:ascii="Times New Roman" w:hAnsi="Times New Roman" w:cs="Times New Roman"/>
          <w:sz w:val="24"/>
          <w:szCs w:val="24"/>
        </w:rPr>
        <w:t xml:space="preserve">the </w:t>
      </w:r>
      <w:r w:rsidR="001E402D">
        <w:rPr>
          <w:rFonts w:ascii="Times New Roman" w:hAnsi="Times New Roman" w:cs="Times New Roman"/>
          <w:sz w:val="24"/>
          <w:szCs w:val="24"/>
        </w:rPr>
        <w:t xml:space="preserve">effect </w:t>
      </w:r>
      <w:r w:rsidR="00DC0077">
        <w:rPr>
          <w:rFonts w:ascii="Times New Roman" w:hAnsi="Times New Roman" w:cs="Times New Roman"/>
          <w:sz w:val="24"/>
          <w:szCs w:val="24"/>
        </w:rPr>
        <w:t xml:space="preserve">of the financial </w:t>
      </w:r>
      <w:r w:rsidR="00436132">
        <w:rPr>
          <w:rFonts w:ascii="Times New Roman" w:hAnsi="Times New Roman" w:cs="Times New Roman"/>
          <w:sz w:val="24"/>
          <w:szCs w:val="24"/>
        </w:rPr>
        <w:t>crisis of 2008.</w:t>
      </w:r>
      <w:r>
        <w:rPr>
          <w:rFonts w:ascii="Times New Roman" w:hAnsi="Times New Roman" w:cs="Times New Roman"/>
          <w:sz w:val="24"/>
          <w:szCs w:val="24"/>
        </w:rPr>
        <w:t xml:space="preserve"> </w:t>
      </w:r>
      <w:r w:rsidR="00675B4F" w:rsidRPr="004B502E">
        <w:rPr>
          <w:rFonts w:ascii="Times New Roman" w:hAnsi="Times New Roman" w:cs="Times New Roman"/>
          <w:sz w:val="24"/>
          <w:szCs w:val="24"/>
        </w:rPr>
        <w:t xml:space="preserve">As stated earlier, there are few studies </w:t>
      </w:r>
      <w:r w:rsidR="001E402D">
        <w:rPr>
          <w:rFonts w:ascii="Times New Roman" w:hAnsi="Times New Roman" w:cs="Times New Roman"/>
          <w:sz w:val="24"/>
          <w:szCs w:val="24"/>
        </w:rPr>
        <w:t xml:space="preserve">that </w:t>
      </w:r>
      <w:r w:rsidR="001E402D" w:rsidRPr="004B502E">
        <w:rPr>
          <w:rFonts w:ascii="Times New Roman" w:hAnsi="Times New Roman" w:cs="Times New Roman"/>
          <w:sz w:val="24"/>
          <w:szCs w:val="24"/>
        </w:rPr>
        <w:t>ha</w:t>
      </w:r>
      <w:r w:rsidR="001E402D">
        <w:rPr>
          <w:rFonts w:ascii="Times New Roman" w:hAnsi="Times New Roman" w:cs="Times New Roman"/>
          <w:sz w:val="24"/>
          <w:szCs w:val="24"/>
        </w:rPr>
        <w:t>ve</w:t>
      </w:r>
      <w:r w:rsidR="001E402D" w:rsidRPr="004B502E">
        <w:rPr>
          <w:rFonts w:ascii="Times New Roman" w:hAnsi="Times New Roman" w:cs="Times New Roman"/>
          <w:sz w:val="24"/>
          <w:szCs w:val="24"/>
        </w:rPr>
        <w:t xml:space="preserve"> evaluated </w:t>
      </w:r>
      <w:r w:rsidR="00DC0077">
        <w:rPr>
          <w:rFonts w:ascii="Times New Roman" w:hAnsi="Times New Roman" w:cs="Times New Roman"/>
          <w:sz w:val="24"/>
          <w:szCs w:val="24"/>
        </w:rPr>
        <w:t xml:space="preserve">the effect of the financial </w:t>
      </w:r>
      <w:r w:rsidR="00675B4F" w:rsidRPr="004B502E">
        <w:rPr>
          <w:rFonts w:ascii="Times New Roman" w:hAnsi="Times New Roman" w:cs="Times New Roman"/>
          <w:sz w:val="24"/>
          <w:szCs w:val="24"/>
        </w:rPr>
        <w:t xml:space="preserve">crisis of 2008 on the performance of </w:t>
      </w:r>
      <w:r w:rsidR="00852351">
        <w:rPr>
          <w:rFonts w:ascii="Times New Roman" w:hAnsi="Times New Roman" w:cs="Times New Roman"/>
          <w:sz w:val="24"/>
          <w:szCs w:val="24"/>
        </w:rPr>
        <w:t>Islamic banks</w:t>
      </w:r>
      <w:r w:rsidR="00675B4F" w:rsidRPr="004B502E">
        <w:rPr>
          <w:rFonts w:ascii="Times New Roman" w:hAnsi="Times New Roman" w:cs="Times New Roman"/>
          <w:sz w:val="24"/>
          <w:szCs w:val="24"/>
        </w:rPr>
        <w:t>. Hidayat and Abduh (2012</w:t>
      </w:r>
      <w:r w:rsidR="001E402D">
        <w:rPr>
          <w:rFonts w:ascii="Times New Roman" w:hAnsi="Times New Roman" w:cs="Times New Roman"/>
          <w:sz w:val="24"/>
          <w:szCs w:val="24"/>
        </w:rPr>
        <w:t>) used</w:t>
      </w:r>
      <w:r w:rsidR="00675B4F" w:rsidRPr="004B502E">
        <w:rPr>
          <w:rFonts w:ascii="Times New Roman" w:hAnsi="Times New Roman" w:cs="Times New Roman"/>
          <w:sz w:val="24"/>
          <w:szCs w:val="24"/>
        </w:rPr>
        <w:t xml:space="preserve"> special dummy variables </w:t>
      </w:r>
      <w:r w:rsidR="001E402D">
        <w:rPr>
          <w:rFonts w:ascii="Times New Roman" w:hAnsi="Times New Roman" w:cs="Times New Roman"/>
          <w:sz w:val="24"/>
          <w:szCs w:val="24"/>
        </w:rPr>
        <w:t>to examine</w:t>
      </w:r>
      <w:r w:rsidR="00675B4F" w:rsidRPr="004B502E">
        <w:rPr>
          <w:rFonts w:ascii="Times New Roman" w:hAnsi="Times New Roman" w:cs="Times New Roman"/>
          <w:sz w:val="24"/>
          <w:szCs w:val="24"/>
        </w:rPr>
        <w:t xml:space="preserve"> this effect. In the present stu</w:t>
      </w:r>
      <w:r w:rsidR="00C03865">
        <w:rPr>
          <w:rFonts w:ascii="Times New Roman" w:hAnsi="Times New Roman" w:cs="Times New Roman"/>
          <w:sz w:val="24"/>
          <w:szCs w:val="24"/>
        </w:rPr>
        <w:t>dy the same approach will</w:t>
      </w:r>
      <w:r w:rsidR="00675B4F" w:rsidRPr="004B502E">
        <w:rPr>
          <w:rFonts w:ascii="Times New Roman" w:hAnsi="Times New Roman" w:cs="Times New Roman"/>
          <w:sz w:val="24"/>
          <w:szCs w:val="24"/>
        </w:rPr>
        <w:t xml:space="preserve"> be followed, </w:t>
      </w:r>
      <w:r w:rsidR="001E402D">
        <w:rPr>
          <w:rFonts w:ascii="Times New Roman" w:hAnsi="Times New Roman" w:cs="Times New Roman"/>
          <w:sz w:val="24"/>
          <w:szCs w:val="24"/>
        </w:rPr>
        <w:t>since</w:t>
      </w:r>
      <w:r w:rsidR="001E402D" w:rsidRPr="004B502E">
        <w:rPr>
          <w:rFonts w:ascii="Times New Roman" w:hAnsi="Times New Roman" w:cs="Times New Roman"/>
          <w:sz w:val="24"/>
          <w:szCs w:val="24"/>
        </w:rPr>
        <w:t xml:space="preserve"> </w:t>
      </w:r>
      <w:r w:rsidR="00675B4F" w:rsidRPr="004B502E">
        <w:rPr>
          <w:rFonts w:ascii="Times New Roman" w:hAnsi="Times New Roman" w:cs="Times New Roman"/>
          <w:sz w:val="24"/>
          <w:szCs w:val="24"/>
        </w:rPr>
        <w:t xml:space="preserve">one of the primary objectives of this study is to </w:t>
      </w:r>
      <w:r w:rsidR="001E402D">
        <w:rPr>
          <w:rFonts w:ascii="Times New Roman" w:hAnsi="Times New Roman" w:cs="Times New Roman"/>
          <w:sz w:val="24"/>
          <w:szCs w:val="24"/>
        </w:rPr>
        <w:t>determine if</w:t>
      </w:r>
      <w:r w:rsidR="00675B4F" w:rsidRPr="004B502E">
        <w:rPr>
          <w:rFonts w:ascii="Times New Roman" w:hAnsi="Times New Roman" w:cs="Times New Roman"/>
          <w:sz w:val="24"/>
          <w:szCs w:val="24"/>
        </w:rPr>
        <w:t xml:space="preserve"> </w:t>
      </w:r>
      <w:r w:rsidR="001E402D" w:rsidRPr="004B502E">
        <w:rPr>
          <w:rFonts w:ascii="Times New Roman" w:hAnsi="Times New Roman" w:cs="Times New Roman"/>
          <w:sz w:val="24"/>
          <w:szCs w:val="24"/>
        </w:rPr>
        <w:t>the</w:t>
      </w:r>
      <w:r w:rsidR="00804474">
        <w:rPr>
          <w:rFonts w:ascii="Times New Roman" w:hAnsi="Times New Roman" w:cs="Times New Roman"/>
          <w:sz w:val="24"/>
          <w:szCs w:val="24"/>
        </w:rPr>
        <w:t xml:space="preserve"> </w:t>
      </w:r>
      <w:r w:rsidR="001E402D">
        <w:rPr>
          <w:rFonts w:ascii="Times New Roman" w:hAnsi="Times New Roman" w:cs="Times New Roman"/>
          <w:sz w:val="24"/>
          <w:szCs w:val="24"/>
        </w:rPr>
        <w:t xml:space="preserve">financial </w:t>
      </w:r>
      <w:r w:rsidR="001E402D" w:rsidRPr="004B502E">
        <w:rPr>
          <w:rFonts w:ascii="Times New Roman" w:hAnsi="Times New Roman" w:cs="Times New Roman"/>
          <w:sz w:val="24"/>
          <w:szCs w:val="24"/>
        </w:rPr>
        <w:t xml:space="preserve">crisis </w:t>
      </w:r>
      <w:r w:rsidR="00804474">
        <w:rPr>
          <w:rFonts w:ascii="Times New Roman" w:hAnsi="Times New Roman" w:cs="Times New Roman"/>
          <w:sz w:val="24"/>
          <w:szCs w:val="24"/>
        </w:rPr>
        <w:t xml:space="preserve">of 2008 </w:t>
      </w:r>
      <w:r w:rsidR="001E402D" w:rsidRPr="004B502E">
        <w:rPr>
          <w:rFonts w:ascii="Times New Roman" w:hAnsi="Times New Roman" w:cs="Times New Roman"/>
          <w:sz w:val="24"/>
          <w:szCs w:val="24"/>
        </w:rPr>
        <w:t>affected</w:t>
      </w:r>
      <w:r w:rsidR="001E402D" w:rsidRPr="004B502E" w:rsidDel="00852351">
        <w:rPr>
          <w:rFonts w:ascii="Times New Roman" w:hAnsi="Times New Roman" w:cs="Times New Roman"/>
          <w:sz w:val="24"/>
          <w:szCs w:val="24"/>
        </w:rPr>
        <w:t xml:space="preserve"> </w:t>
      </w:r>
      <w:r w:rsidR="00852351">
        <w:rPr>
          <w:rFonts w:ascii="Times New Roman" w:hAnsi="Times New Roman" w:cs="Times New Roman"/>
          <w:sz w:val="24"/>
          <w:szCs w:val="24"/>
        </w:rPr>
        <w:t>Islamic banks</w:t>
      </w:r>
      <w:r w:rsidR="00675B4F" w:rsidRPr="004B502E">
        <w:rPr>
          <w:rFonts w:ascii="Times New Roman" w:hAnsi="Times New Roman" w:cs="Times New Roman"/>
          <w:sz w:val="24"/>
          <w:szCs w:val="24"/>
        </w:rPr>
        <w:t xml:space="preserve"> of Malaysia. </w:t>
      </w:r>
    </w:p>
    <w:p w:rsidR="00FB0EE8" w:rsidRDefault="00C61B7F" w:rsidP="00FB0EE8">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436132">
        <w:rPr>
          <w:rFonts w:ascii="Times New Roman" w:hAnsi="Times New Roman" w:cs="Times New Roman"/>
          <w:sz w:val="24"/>
          <w:szCs w:val="24"/>
        </w:rPr>
        <w:t xml:space="preserve">his variable will be included as the moderator variable </w:t>
      </w:r>
      <w:r w:rsidR="001E402D">
        <w:rPr>
          <w:rFonts w:ascii="Times New Roman" w:hAnsi="Times New Roman" w:cs="Times New Roman"/>
          <w:sz w:val="24"/>
          <w:szCs w:val="24"/>
        </w:rPr>
        <w:t xml:space="preserve">to examine </w:t>
      </w:r>
      <w:r w:rsidR="00436132">
        <w:rPr>
          <w:rFonts w:ascii="Times New Roman" w:hAnsi="Times New Roman" w:cs="Times New Roman"/>
          <w:sz w:val="24"/>
          <w:szCs w:val="24"/>
        </w:rPr>
        <w:t xml:space="preserve">the robustness of the results obtained from the analysis of internal and external factors on the performance of </w:t>
      </w:r>
      <w:r w:rsidR="00852351">
        <w:rPr>
          <w:rFonts w:ascii="Times New Roman" w:hAnsi="Times New Roman" w:cs="Times New Roman"/>
          <w:sz w:val="24"/>
          <w:szCs w:val="24"/>
        </w:rPr>
        <w:t>Islamic banks</w:t>
      </w:r>
      <w:r w:rsidR="00436132">
        <w:rPr>
          <w:rFonts w:ascii="Times New Roman" w:hAnsi="Times New Roman" w:cs="Times New Roman"/>
          <w:sz w:val="24"/>
          <w:szCs w:val="24"/>
        </w:rPr>
        <w:t xml:space="preserve">. </w:t>
      </w:r>
    </w:p>
    <w:p w:rsidR="001B6EF7" w:rsidRDefault="00FB0EE8" w:rsidP="00FB0EE8">
      <w:pPr>
        <w:spacing w:line="480" w:lineRule="auto"/>
        <w:ind w:left="720"/>
        <w:rPr>
          <w:rFonts w:ascii="Times New Roman" w:hAnsi="Times New Roman" w:cs="Times New Roman"/>
          <w:sz w:val="24"/>
          <w:szCs w:val="24"/>
        </w:rPr>
      </w:pPr>
      <w:r>
        <w:rPr>
          <w:rFonts w:ascii="Times New Roman" w:hAnsi="Times New Roman" w:cs="Times New Roman"/>
          <w:sz w:val="24"/>
          <w:szCs w:val="24"/>
        </w:rPr>
        <w:t>The complete set of variables and their fo</w:t>
      </w:r>
      <w:r w:rsidR="00C60F43">
        <w:rPr>
          <w:rFonts w:ascii="Times New Roman" w:hAnsi="Times New Roman" w:cs="Times New Roman"/>
          <w:sz w:val="24"/>
          <w:szCs w:val="24"/>
        </w:rPr>
        <w:t>rmulas are stated in Table 2</w:t>
      </w:r>
      <w:r>
        <w:rPr>
          <w:rFonts w:ascii="Times New Roman" w:hAnsi="Times New Roman" w:cs="Times New Roman"/>
          <w:sz w:val="24"/>
          <w:szCs w:val="24"/>
        </w:rPr>
        <w:t>, below:</w:t>
      </w:r>
    </w:p>
    <w:p w:rsidR="0047701A" w:rsidRDefault="0047701A" w:rsidP="00FB0EE8">
      <w:pPr>
        <w:spacing w:line="480" w:lineRule="auto"/>
        <w:ind w:left="720"/>
        <w:rPr>
          <w:rFonts w:ascii="Times New Roman" w:hAnsi="Times New Roman" w:cs="Times New Roman"/>
          <w:sz w:val="24"/>
          <w:szCs w:val="24"/>
        </w:rPr>
      </w:pPr>
    </w:p>
    <w:p w:rsidR="00C61B7F" w:rsidRDefault="00C61B7F" w:rsidP="00FB0EE8">
      <w:pPr>
        <w:spacing w:line="480" w:lineRule="auto"/>
        <w:ind w:left="720"/>
        <w:rPr>
          <w:rFonts w:ascii="Times New Roman" w:hAnsi="Times New Roman" w:cs="Times New Roman"/>
          <w:sz w:val="24"/>
          <w:szCs w:val="24"/>
        </w:rPr>
      </w:pPr>
    </w:p>
    <w:p w:rsidR="0047701A" w:rsidRDefault="0047701A" w:rsidP="00FB0EE8">
      <w:pPr>
        <w:spacing w:line="480" w:lineRule="auto"/>
        <w:ind w:left="720"/>
        <w:rPr>
          <w:rFonts w:ascii="Times New Roman" w:hAnsi="Times New Roman" w:cs="Times New Roman"/>
          <w:sz w:val="24"/>
          <w:szCs w:val="24"/>
        </w:rPr>
      </w:pPr>
    </w:p>
    <w:tbl>
      <w:tblPr>
        <w:tblStyle w:val="TableGrid"/>
        <w:tblW w:w="8640" w:type="dxa"/>
        <w:tblLayout w:type="fixed"/>
        <w:tblLook w:val="04A0" w:firstRow="1" w:lastRow="0" w:firstColumn="1" w:lastColumn="0" w:noHBand="0" w:noVBand="1"/>
      </w:tblPr>
      <w:tblGrid>
        <w:gridCol w:w="2608"/>
        <w:gridCol w:w="200"/>
        <w:gridCol w:w="5832"/>
      </w:tblGrid>
      <w:tr w:rsidR="0003385C" w:rsidRPr="00AE28C6" w:rsidTr="00A565AE">
        <w:tc>
          <w:tcPr>
            <w:tcW w:w="8640" w:type="dxa"/>
            <w:gridSpan w:val="3"/>
            <w:tcBorders>
              <w:top w:val="nil"/>
              <w:left w:val="nil"/>
              <w:bottom w:val="nil"/>
              <w:right w:val="nil"/>
            </w:tcBorders>
          </w:tcPr>
          <w:p w:rsidR="00662D84" w:rsidRDefault="00B76321" w:rsidP="00662D84">
            <w:pPr>
              <w:pStyle w:val="CommentText"/>
              <w:spacing w:line="480" w:lineRule="auto"/>
              <w:jc w:val="center"/>
              <w:rPr>
                <w:rFonts w:ascii="Times New Roman" w:hAnsi="Times New Roman" w:cs="Times New Roman"/>
                <w:sz w:val="24"/>
                <w:szCs w:val="24"/>
              </w:rPr>
            </w:pPr>
            <w:r w:rsidRPr="00AE28C6">
              <w:rPr>
                <w:rFonts w:ascii="Times New Roman" w:hAnsi="Times New Roman" w:cs="Times New Roman"/>
                <w:sz w:val="24"/>
                <w:szCs w:val="24"/>
              </w:rPr>
              <w:t xml:space="preserve">Table </w:t>
            </w:r>
            <w:r w:rsidR="008520EE">
              <w:rPr>
                <w:rFonts w:ascii="Times New Roman" w:hAnsi="Times New Roman" w:cs="Times New Roman"/>
                <w:sz w:val="24"/>
                <w:szCs w:val="24"/>
              </w:rPr>
              <w:t>2</w:t>
            </w:r>
          </w:p>
        </w:tc>
      </w:tr>
      <w:tr w:rsidR="0003385C" w:rsidRPr="00AE28C6" w:rsidTr="00A565AE">
        <w:tc>
          <w:tcPr>
            <w:tcW w:w="8640" w:type="dxa"/>
            <w:gridSpan w:val="3"/>
            <w:tcBorders>
              <w:top w:val="nil"/>
              <w:left w:val="nil"/>
              <w:bottom w:val="single" w:sz="4" w:space="0" w:color="auto"/>
              <w:right w:val="nil"/>
            </w:tcBorders>
          </w:tcPr>
          <w:p w:rsidR="00662D84" w:rsidRDefault="0003385C" w:rsidP="00662D84">
            <w:pPr>
              <w:pStyle w:val="CommentText"/>
              <w:spacing w:line="480" w:lineRule="auto"/>
              <w:jc w:val="center"/>
              <w:rPr>
                <w:rFonts w:ascii="Times New Roman" w:hAnsi="Times New Roman" w:cs="Times New Roman"/>
                <w:i/>
                <w:sz w:val="24"/>
                <w:szCs w:val="24"/>
              </w:rPr>
            </w:pPr>
            <w:r w:rsidRPr="00AE28C6">
              <w:rPr>
                <w:rFonts w:ascii="Times New Roman" w:hAnsi="Times New Roman" w:cs="Times New Roman"/>
                <w:i/>
                <w:sz w:val="24"/>
                <w:szCs w:val="24"/>
              </w:rPr>
              <w:t xml:space="preserve">The </w:t>
            </w:r>
            <w:r w:rsidR="001E402D" w:rsidRPr="00AE28C6">
              <w:rPr>
                <w:rFonts w:ascii="Times New Roman" w:hAnsi="Times New Roman" w:cs="Times New Roman"/>
                <w:i/>
                <w:sz w:val="24"/>
                <w:szCs w:val="24"/>
              </w:rPr>
              <w:t xml:space="preserve">Set </w:t>
            </w:r>
            <w:r w:rsidR="001E402D">
              <w:rPr>
                <w:rFonts w:ascii="Times New Roman" w:hAnsi="Times New Roman" w:cs="Times New Roman"/>
                <w:i/>
                <w:sz w:val="24"/>
                <w:szCs w:val="24"/>
              </w:rPr>
              <w:t>o</w:t>
            </w:r>
            <w:r w:rsidR="001E402D" w:rsidRPr="00AE28C6">
              <w:rPr>
                <w:rFonts w:ascii="Times New Roman" w:hAnsi="Times New Roman" w:cs="Times New Roman"/>
                <w:i/>
                <w:sz w:val="24"/>
                <w:szCs w:val="24"/>
              </w:rPr>
              <w:t xml:space="preserve">f Variables Used </w:t>
            </w:r>
            <w:r w:rsidR="001E402D">
              <w:rPr>
                <w:rFonts w:ascii="Times New Roman" w:hAnsi="Times New Roman" w:cs="Times New Roman"/>
                <w:i/>
                <w:sz w:val="24"/>
                <w:szCs w:val="24"/>
              </w:rPr>
              <w:t>i</w:t>
            </w:r>
            <w:r w:rsidR="001E402D" w:rsidRPr="00AE28C6">
              <w:rPr>
                <w:rFonts w:ascii="Times New Roman" w:hAnsi="Times New Roman" w:cs="Times New Roman"/>
                <w:i/>
                <w:sz w:val="24"/>
                <w:szCs w:val="24"/>
              </w:rPr>
              <w:t xml:space="preserve">n </w:t>
            </w:r>
            <w:r w:rsidR="001E402D">
              <w:rPr>
                <w:rFonts w:ascii="Times New Roman" w:hAnsi="Times New Roman" w:cs="Times New Roman"/>
                <w:i/>
                <w:sz w:val="24"/>
                <w:szCs w:val="24"/>
              </w:rPr>
              <w:t>t</w:t>
            </w:r>
            <w:r w:rsidR="001E402D" w:rsidRPr="00AE28C6">
              <w:rPr>
                <w:rFonts w:ascii="Times New Roman" w:hAnsi="Times New Roman" w:cs="Times New Roman"/>
                <w:i/>
                <w:sz w:val="24"/>
                <w:szCs w:val="24"/>
              </w:rPr>
              <w:t>he Study</w:t>
            </w:r>
          </w:p>
        </w:tc>
      </w:tr>
      <w:tr w:rsidR="0003385C" w:rsidRPr="00AE28C6" w:rsidTr="00A565AE">
        <w:tc>
          <w:tcPr>
            <w:tcW w:w="2608" w:type="dxa"/>
            <w:tcBorders>
              <w:top w:val="single" w:sz="4" w:space="0" w:color="auto"/>
              <w:left w:val="nil"/>
              <w:bottom w:val="single" w:sz="4" w:space="0" w:color="auto"/>
              <w:right w:val="nil"/>
            </w:tcBorders>
          </w:tcPr>
          <w:p w:rsidR="0003385C" w:rsidRPr="00AE28C6" w:rsidRDefault="0003385C" w:rsidP="001E402D">
            <w:pPr>
              <w:pStyle w:val="CommentText"/>
              <w:spacing w:line="360" w:lineRule="auto"/>
              <w:rPr>
                <w:rFonts w:ascii="Times New Roman" w:hAnsi="Times New Roman" w:cs="Times New Roman"/>
                <w:szCs w:val="24"/>
              </w:rPr>
            </w:pPr>
            <w:r w:rsidRPr="00AE28C6">
              <w:rPr>
                <w:rFonts w:ascii="Times New Roman" w:hAnsi="Times New Roman" w:cs="Times New Roman"/>
                <w:szCs w:val="24"/>
              </w:rPr>
              <w:t xml:space="preserve">Name of </w:t>
            </w:r>
            <w:r w:rsidR="001E402D">
              <w:rPr>
                <w:rFonts w:ascii="Times New Roman" w:hAnsi="Times New Roman" w:cs="Times New Roman"/>
                <w:szCs w:val="24"/>
              </w:rPr>
              <w:t>v</w:t>
            </w:r>
            <w:r w:rsidR="001E402D" w:rsidRPr="00AE28C6">
              <w:rPr>
                <w:rFonts w:ascii="Times New Roman" w:hAnsi="Times New Roman" w:cs="Times New Roman"/>
                <w:szCs w:val="24"/>
              </w:rPr>
              <w:t>ariable</w:t>
            </w:r>
          </w:p>
        </w:tc>
        <w:tc>
          <w:tcPr>
            <w:tcW w:w="6032" w:type="dxa"/>
            <w:gridSpan w:val="2"/>
            <w:tcBorders>
              <w:top w:val="single" w:sz="4" w:space="0" w:color="auto"/>
              <w:left w:val="nil"/>
              <w:bottom w:val="single" w:sz="4" w:space="0" w:color="auto"/>
              <w:right w:val="nil"/>
            </w:tcBorders>
            <w:vAlign w:val="bottom"/>
          </w:tcPr>
          <w:p w:rsidR="0003385C" w:rsidRPr="00AE28C6" w:rsidRDefault="0003385C" w:rsidP="001E402D">
            <w:pPr>
              <w:pStyle w:val="CommentText"/>
              <w:spacing w:line="360" w:lineRule="auto"/>
              <w:rPr>
                <w:rFonts w:ascii="Times New Roman" w:hAnsi="Times New Roman" w:cs="Times New Roman"/>
                <w:szCs w:val="24"/>
              </w:rPr>
            </w:pPr>
            <w:r w:rsidRPr="00AE28C6">
              <w:rPr>
                <w:rFonts w:ascii="Times New Roman" w:hAnsi="Times New Roman" w:cs="Times New Roman"/>
                <w:szCs w:val="24"/>
              </w:rPr>
              <w:t xml:space="preserve">Formula and/or </w:t>
            </w:r>
            <w:r w:rsidR="001E402D">
              <w:rPr>
                <w:rFonts w:ascii="Times New Roman" w:hAnsi="Times New Roman" w:cs="Times New Roman"/>
                <w:szCs w:val="24"/>
              </w:rPr>
              <w:t>e</w:t>
            </w:r>
            <w:r w:rsidR="001E402D" w:rsidRPr="00AE28C6">
              <w:rPr>
                <w:rFonts w:ascii="Times New Roman" w:hAnsi="Times New Roman" w:cs="Times New Roman"/>
                <w:szCs w:val="24"/>
              </w:rPr>
              <w:t>xplanation</w:t>
            </w:r>
          </w:p>
        </w:tc>
      </w:tr>
      <w:tr w:rsidR="0003385C" w:rsidRPr="00AE28C6" w:rsidTr="00A565AE">
        <w:tc>
          <w:tcPr>
            <w:tcW w:w="8640" w:type="dxa"/>
            <w:gridSpan w:val="3"/>
            <w:tcBorders>
              <w:top w:val="single" w:sz="4" w:space="0" w:color="auto"/>
              <w:left w:val="nil"/>
              <w:bottom w:val="nil"/>
              <w:right w:val="nil"/>
            </w:tcBorders>
            <w:vAlign w:val="center"/>
          </w:tcPr>
          <w:p w:rsidR="0003385C" w:rsidRPr="00AE28C6" w:rsidRDefault="0003385C" w:rsidP="001E402D">
            <w:pPr>
              <w:pStyle w:val="CommentText"/>
              <w:spacing w:line="360" w:lineRule="auto"/>
              <w:jc w:val="center"/>
              <w:rPr>
                <w:rFonts w:ascii="Times New Roman" w:hAnsi="Times New Roman" w:cs="Times New Roman"/>
                <w:szCs w:val="24"/>
              </w:rPr>
            </w:pPr>
            <w:r w:rsidRPr="00AE28C6">
              <w:rPr>
                <w:rFonts w:ascii="Times New Roman" w:hAnsi="Times New Roman" w:cs="Times New Roman"/>
                <w:szCs w:val="24"/>
              </w:rPr>
              <w:t xml:space="preserve">Independent </w:t>
            </w:r>
            <w:r w:rsidR="001E402D">
              <w:rPr>
                <w:rFonts w:ascii="Times New Roman" w:hAnsi="Times New Roman" w:cs="Times New Roman"/>
                <w:szCs w:val="24"/>
              </w:rPr>
              <w:t>v</w:t>
            </w:r>
            <w:r w:rsidR="001E402D" w:rsidRPr="00AE28C6">
              <w:rPr>
                <w:rFonts w:ascii="Times New Roman" w:hAnsi="Times New Roman" w:cs="Times New Roman"/>
                <w:szCs w:val="24"/>
              </w:rPr>
              <w:t>ariables</w:t>
            </w:r>
          </w:p>
        </w:tc>
      </w:tr>
      <w:tr w:rsidR="008E5DF6" w:rsidRPr="00AE28C6" w:rsidTr="00A565AE">
        <w:tc>
          <w:tcPr>
            <w:tcW w:w="8640" w:type="dxa"/>
            <w:gridSpan w:val="3"/>
            <w:tcBorders>
              <w:top w:val="nil"/>
              <w:left w:val="nil"/>
              <w:bottom w:val="nil"/>
              <w:right w:val="nil"/>
            </w:tcBorders>
          </w:tcPr>
          <w:p w:rsidR="008E5DF6" w:rsidRPr="00AE28C6" w:rsidRDefault="008E5DF6" w:rsidP="001E402D">
            <w:pPr>
              <w:pStyle w:val="CommentText"/>
              <w:spacing w:line="360" w:lineRule="auto"/>
              <w:rPr>
                <w:rFonts w:ascii="Times New Roman" w:hAnsi="Times New Roman" w:cs="Times New Roman"/>
                <w:szCs w:val="24"/>
              </w:rPr>
            </w:pPr>
            <w:r w:rsidRPr="00AE28C6">
              <w:rPr>
                <w:rFonts w:ascii="Times New Roman" w:hAnsi="Times New Roman" w:cs="Times New Roman"/>
                <w:szCs w:val="24"/>
              </w:rPr>
              <w:t xml:space="preserve">Internal </w:t>
            </w:r>
            <w:r w:rsidR="001E402D">
              <w:rPr>
                <w:rFonts w:ascii="Times New Roman" w:hAnsi="Times New Roman" w:cs="Times New Roman"/>
                <w:szCs w:val="24"/>
              </w:rPr>
              <w:t>f</w:t>
            </w:r>
            <w:r w:rsidR="001E402D" w:rsidRPr="00AE28C6">
              <w:rPr>
                <w:rFonts w:ascii="Times New Roman" w:hAnsi="Times New Roman" w:cs="Times New Roman"/>
                <w:szCs w:val="24"/>
              </w:rPr>
              <w:t>actors</w:t>
            </w:r>
          </w:p>
        </w:tc>
      </w:tr>
      <w:tr w:rsidR="008E5DF6" w:rsidRPr="00AE28C6" w:rsidTr="00A565AE">
        <w:tc>
          <w:tcPr>
            <w:tcW w:w="2808" w:type="dxa"/>
            <w:gridSpan w:val="2"/>
            <w:tcBorders>
              <w:top w:val="nil"/>
              <w:left w:val="nil"/>
              <w:bottom w:val="nil"/>
              <w:right w:val="nil"/>
            </w:tcBorders>
          </w:tcPr>
          <w:p w:rsidR="008E5DF6" w:rsidRPr="00AE28C6" w:rsidRDefault="008E5DF6" w:rsidP="008E5DF6">
            <w:pPr>
              <w:pStyle w:val="CommentText"/>
              <w:spacing w:line="360" w:lineRule="auto"/>
              <w:rPr>
                <w:rFonts w:ascii="Times New Roman" w:hAnsi="Times New Roman" w:cs="Times New Roman"/>
                <w:szCs w:val="24"/>
              </w:rPr>
            </w:pPr>
            <w:r w:rsidRPr="00AE28C6">
              <w:rPr>
                <w:rFonts w:ascii="Times New Roman" w:hAnsi="Times New Roman" w:cs="Times New Roman"/>
                <w:szCs w:val="24"/>
              </w:rPr>
              <w:t xml:space="preserve">        </w:t>
            </w:r>
            <w:r w:rsidR="00B418B5">
              <w:rPr>
                <w:rFonts w:ascii="Times New Roman" w:hAnsi="Times New Roman" w:cs="Times New Roman"/>
                <w:szCs w:val="24"/>
              </w:rPr>
              <w:t xml:space="preserve">  </w:t>
            </w:r>
            <w:r w:rsidRPr="00AE28C6">
              <w:rPr>
                <w:rFonts w:ascii="Times New Roman" w:hAnsi="Times New Roman" w:cs="Times New Roman"/>
                <w:szCs w:val="24"/>
              </w:rPr>
              <w:t>Capital ratio (EQTA)</w:t>
            </w:r>
          </w:p>
        </w:tc>
        <w:tc>
          <w:tcPr>
            <w:tcW w:w="5832" w:type="dxa"/>
            <w:tcBorders>
              <w:top w:val="nil"/>
              <w:left w:val="nil"/>
              <w:bottom w:val="nil"/>
              <w:right w:val="nil"/>
            </w:tcBorders>
            <w:vAlign w:val="bottom"/>
          </w:tcPr>
          <w:p w:rsidR="008E5DF6" w:rsidRPr="00AE28C6" w:rsidRDefault="008E5DF6" w:rsidP="00FB0EE8">
            <w:pPr>
              <w:pStyle w:val="CommentText"/>
              <w:spacing w:line="360" w:lineRule="auto"/>
              <w:rPr>
                <w:rFonts w:ascii="Times New Roman" w:hAnsi="Times New Roman" w:cs="Times New Roman"/>
                <w:szCs w:val="24"/>
              </w:rPr>
            </w:pPr>
            <w:r w:rsidRPr="00AE28C6">
              <w:rPr>
                <w:rFonts w:ascii="Times New Roman" w:hAnsi="Times New Roman" w:cs="Times New Roman"/>
                <w:szCs w:val="24"/>
              </w:rPr>
              <w:t>Total shareholders’ equity/total assets</w:t>
            </w:r>
          </w:p>
        </w:tc>
      </w:tr>
      <w:tr w:rsidR="008E5DF6" w:rsidRPr="00AE28C6" w:rsidTr="00A565AE">
        <w:tc>
          <w:tcPr>
            <w:tcW w:w="2808" w:type="dxa"/>
            <w:gridSpan w:val="2"/>
            <w:tcBorders>
              <w:top w:val="nil"/>
              <w:left w:val="nil"/>
              <w:bottom w:val="nil"/>
              <w:right w:val="nil"/>
            </w:tcBorders>
          </w:tcPr>
          <w:p w:rsidR="008E5DF6" w:rsidRPr="00AE28C6" w:rsidRDefault="008E5DF6" w:rsidP="008E5DF6">
            <w:pPr>
              <w:pStyle w:val="CommentText"/>
              <w:spacing w:line="360" w:lineRule="auto"/>
              <w:rPr>
                <w:rFonts w:ascii="Times New Roman" w:hAnsi="Times New Roman" w:cs="Times New Roman"/>
                <w:szCs w:val="24"/>
              </w:rPr>
            </w:pPr>
            <w:r w:rsidRPr="00AE28C6">
              <w:rPr>
                <w:rFonts w:ascii="Times New Roman" w:hAnsi="Times New Roman" w:cs="Times New Roman"/>
                <w:szCs w:val="24"/>
              </w:rPr>
              <w:t xml:space="preserve">        </w:t>
            </w:r>
            <w:r w:rsidR="00B418B5">
              <w:rPr>
                <w:rFonts w:ascii="Times New Roman" w:hAnsi="Times New Roman" w:cs="Times New Roman"/>
                <w:szCs w:val="24"/>
              </w:rPr>
              <w:t xml:space="preserve">  </w:t>
            </w:r>
            <w:r w:rsidRPr="00AE28C6">
              <w:rPr>
                <w:rFonts w:ascii="Times New Roman" w:hAnsi="Times New Roman" w:cs="Times New Roman"/>
                <w:szCs w:val="24"/>
              </w:rPr>
              <w:t>Liquidity ratio (LTA)</w:t>
            </w:r>
          </w:p>
        </w:tc>
        <w:tc>
          <w:tcPr>
            <w:tcW w:w="5832" w:type="dxa"/>
            <w:tcBorders>
              <w:top w:val="nil"/>
              <w:left w:val="nil"/>
              <w:bottom w:val="nil"/>
              <w:right w:val="nil"/>
            </w:tcBorders>
            <w:vAlign w:val="bottom"/>
          </w:tcPr>
          <w:p w:rsidR="008E5DF6" w:rsidRPr="00AE28C6" w:rsidRDefault="00A720C0" w:rsidP="00FB0EE8">
            <w:pPr>
              <w:pStyle w:val="CommentText"/>
              <w:spacing w:line="360" w:lineRule="auto"/>
              <w:rPr>
                <w:rFonts w:ascii="Times New Roman" w:hAnsi="Times New Roman" w:cs="Times New Roman"/>
                <w:szCs w:val="24"/>
              </w:rPr>
            </w:pPr>
            <w:r>
              <w:rPr>
                <w:rFonts w:ascii="Times New Roman" w:hAnsi="Times New Roman" w:cs="Times New Roman"/>
                <w:szCs w:val="24"/>
              </w:rPr>
              <w:t>Total</w:t>
            </w:r>
            <w:r w:rsidR="008E5DF6" w:rsidRPr="00AE28C6">
              <w:rPr>
                <w:rFonts w:ascii="Times New Roman" w:hAnsi="Times New Roman" w:cs="Times New Roman"/>
                <w:szCs w:val="24"/>
              </w:rPr>
              <w:t xml:space="preserve"> loans/total assets</w:t>
            </w:r>
          </w:p>
        </w:tc>
      </w:tr>
      <w:tr w:rsidR="008E5DF6" w:rsidRPr="00AE28C6" w:rsidTr="00A565AE">
        <w:tc>
          <w:tcPr>
            <w:tcW w:w="2808" w:type="dxa"/>
            <w:gridSpan w:val="2"/>
            <w:tcBorders>
              <w:top w:val="nil"/>
              <w:left w:val="nil"/>
              <w:bottom w:val="nil"/>
              <w:right w:val="nil"/>
            </w:tcBorders>
          </w:tcPr>
          <w:p w:rsidR="008E5DF6" w:rsidRPr="00AE28C6" w:rsidRDefault="008E5DF6" w:rsidP="008E5DF6">
            <w:pPr>
              <w:pStyle w:val="CommentText"/>
              <w:spacing w:line="360" w:lineRule="auto"/>
              <w:rPr>
                <w:rFonts w:ascii="Times New Roman" w:hAnsi="Times New Roman" w:cs="Times New Roman"/>
                <w:szCs w:val="24"/>
              </w:rPr>
            </w:pPr>
            <w:r w:rsidRPr="00AE28C6">
              <w:rPr>
                <w:rFonts w:ascii="Times New Roman" w:hAnsi="Times New Roman" w:cs="Times New Roman"/>
                <w:szCs w:val="24"/>
              </w:rPr>
              <w:t xml:space="preserve">        </w:t>
            </w:r>
            <w:r w:rsidR="00B418B5">
              <w:rPr>
                <w:rFonts w:ascii="Times New Roman" w:hAnsi="Times New Roman" w:cs="Times New Roman"/>
                <w:szCs w:val="24"/>
              </w:rPr>
              <w:t xml:space="preserve">  </w:t>
            </w:r>
            <w:r w:rsidRPr="00AE28C6">
              <w:rPr>
                <w:rFonts w:ascii="Times New Roman" w:hAnsi="Times New Roman" w:cs="Times New Roman"/>
                <w:szCs w:val="24"/>
              </w:rPr>
              <w:t>Efficiency ratio (EXTA)</w:t>
            </w:r>
          </w:p>
        </w:tc>
        <w:tc>
          <w:tcPr>
            <w:tcW w:w="5832" w:type="dxa"/>
            <w:tcBorders>
              <w:top w:val="nil"/>
              <w:left w:val="nil"/>
              <w:bottom w:val="nil"/>
              <w:right w:val="nil"/>
            </w:tcBorders>
            <w:vAlign w:val="bottom"/>
          </w:tcPr>
          <w:p w:rsidR="008E5DF6" w:rsidRPr="00AE28C6" w:rsidRDefault="008E5DF6" w:rsidP="00FB0EE8">
            <w:pPr>
              <w:pStyle w:val="CommentText"/>
              <w:spacing w:line="360" w:lineRule="auto"/>
              <w:rPr>
                <w:rFonts w:ascii="Times New Roman" w:hAnsi="Times New Roman" w:cs="Times New Roman"/>
                <w:szCs w:val="24"/>
              </w:rPr>
            </w:pPr>
            <w:r w:rsidRPr="00AE28C6">
              <w:rPr>
                <w:rFonts w:ascii="Times New Roman" w:hAnsi="Times New Roman" w:cs="Times New Roman"/>
                <w:szCs w:val="24"/>
              </w:rPr>
              <w:t>Total operating expenses/total assets</w:t>
            </w:r>
          </w:p>
        </w:tc>
      </w:tr>
      <w:tr w:rsidR="008E5DF6" w:rsidRPr="00AE28C6" w:rsidTr="00A565AE">
        <w:tc>
          <w:tcPr>
            <w:tcW w:w="2808" w:type="dxa"/>
            <w:gridSpan w:val="2"/>
            <w:tcBorders>
              <w:top w:val="nil"/>
              <w:left w:val="nil"/>
              <w:bottom w:val="nil"/>
              <w:right w:val="nil"/>
            </w:tcBorders>
          </w:tcPr>
          <w:p w:rsidR="008E5DF6" w:rsidRPr="00AE28C6" w:rsidRDefault="008E5DF6" w:rsidP="008E5DF6">
            <w:pPr>
              <w:pStyle w:val="CommentText"/>
              <w:spacing w:line="360" w:lineRule="auto"/>
              <w:rPr>
                <w:rFonts w:ascii="Times New Roman" w:hAnsi="Times New Roman" w:cs="Times New Roman"/>
                <w:szCs w:val="24"/>
              </w:rPr>
            </w:pPr>
            <w:r w:rsidRPr="00AE28C6">
              <w:rPr>
                <w:rFonts w:ascii="Times New Roman" w:hAnsi="Times New Roman" w:cs="Times New Roman"/>
                <w:szCs w:val="24"/>
              </w:rPr>
              <w:t xml:space="preserve">        </w:t>
            </w:r>
            <w:r w:rsidR="00B418B5">
              <w:rPr>
                <w:rFonts w:ascii="Times New Roman" w:hAnsi="Times New Roman" w:cs="Times New Roman"/>
                <w:szCs w:val="24"/>
              </w:rPr>
              <w:t xml:space="preserve">  </w:t>
            </w:r>
            <w:r w:rsidRPr="00AE28C6">
              <w:rPr>
                <w:rFonts w:ascii="Times New Roman" w:hAnsi="Times New Roman" w:cs="Times New Roman"/>
                <w:szCs w:val="24"/>
              </w:rPr>
              <w:t>Bank ownership (OWN)</w:t>
            </w:r>
          </w:p>
        </w:tc>
        <w:tc>
          <w:tcPr>
            <w:tcW w:w="5832" w:type="dxa"/>
            <w:tcBorders>
              <w:top w:val="nil"/>
              <w:left w:val="nil"/>
              <w:bottom w:val="nil"/>
              <w:right w:val="nil"/>
            </w:tcBorders>
            <w:vAlign w:val="bottom"/>
          </w:tcPr>
          <w:p w:rsidR="008E5DF6" w:rsidRPr="00AE28C6" w:rsidRDefault="008E5DF6" w:rsidP="00FB0EE8">
            <w:pPr>
              <w:pStyle w:val="CommentText"/>
              <w:spacing w:line="360" w:lineRule="auto"/>
              <w:rPr>
                <w:rFonts w:ascii="Times New Roman" w:hAnsi="Times New Roman" w:cs="Times New Roman"/>
                <w:szCs w:val="24"/>
              </w:rPr>
            </w:pPr>
            <w:r w:rsidRPr="00AE28C6">
              <w:rPr>
                <w:rFonts w:ascii="Times New Roman" w:hAnsi="Times New Roman" w:cs="Times New Roman"/>
                <w:szCs w:val="24"/>
              </w:rPr>
              <w:t>The binary variable used for representing the ownership of banking assets</w:t>
            </w:r>
          </w:p>
        </w:tc>
      </w:tr>
      <w:tr w:rsidR="008E5DF6" w:rsidRPr="00AE28C6" w:rsidTr="00A565AE">
        <w:tc>
          <w:tcPr>
            <w:tcW w:w="2808" w:type="dxa"/>
            <w:gridSpan w:val="2"/>
            <w:tcBorders>
              <w:top w:val="nil"/>
              <w:left w:val="nil"/>
              <w:bottom w:val="nil"/>
              <w:right w:val="nil"/>
            </w:tcBorders>
          </w:tcPr>
          <w:p w:rsidR="008E5DF6" w:rsidRPr="00AE28C6" w:rsidRDefault="008E5DF6" w:rsidP="008E5DF6">
            <w:pPr>
              <w:pStyle w:val="CommentText"/>
              <w:spacing w:line="360" w:lineRule="auto"/>
              <w:rPr>
                <w:rFonts w:ascii="Times New Roman" w:hAnsi="Times New Roman" w:cs="Times New Roman"/>
                <w:szCs w:val="24"/>
              </w:rPr>
            </w:pPr>
            <w:r w:rsidRPr="00AE28C6">
              <w:rPr>
                <w:rFonts w:ascii="Times New Roman" w:hAnsi="Times New Roman" w:cs="Times New Roman"/>
                <w:szCs w:val="24"/>
              </w:rPr>
              <w:t xml:space="preserve">        </w:t>
            </w:r>
            <w:r w:rsidR="00B418B5">
              <w:rPr>
                <w:rFonts w:ascii="Times New Roman" w:hAnsi="Times New Roman" w:cs="Times New Roman"/>
                <w:szCs w:val="24"/>
              </w:rPr>
              <w:t xml:space="preserve">  </w:t>
            </w:r>
            <w:r w:rsidRPr="00AE28C6">
              <w:rPr>
                <w:rFonts w:ascii="Times New Roman" w:hAnsi="Times New Roman" w:cs="Times New Roman"/>
                <w:szCs w:val="24"/>
              </w:rPr>
              <w:t>Bank size (SIZE)</w:t>
            </w:r>
          </w:p>
        </w:tc>
        <w:tc>
          <w:tcPr>
            <w:tcW w:w="5832" w:type="dxa"/>
            <w:tcBorders>
              <w:top w:val="nil"/>
              <w:left w:val="nil"/>
              <w:bottom w:val="nil"/>
              <w:right w:val="nil"/>
            </w:tcBorders>
            <w:vAlign w:val="bottom"/>
          </w:tcPr>
          <w:p w:rsidR="008E5DF6" w:rsidRPr="00AE28C6" w:rsidRDefault="008E5DF6" w:rsidP="00FB0EE8">
            <w:pPr>
              <w:pStyle w:val="CommentText"/>
              <w:spacing w:line="360" w:lineRule="auto"/>
              <w:rPr>
                <w:rFonts w:ascii="Times New Roman" w:hAnsi="Times New Roman" w:cs="Times New Roman"/>
                <w:szCs w:val="24"/>
              </w:rPr>
            </w:pPr>
            <w:r w:rsidRPr="00AE28C6">
              <w:rPr>
                <w:rFonts w:ascii="Times New Roman" w:hAnsi="Times New Roman" w:cs="Times New Roman"/>
                <w:szCs w:val="24"/>
              </w:rPr>
              <w:t xml:space="preserve">The logarithmic value of total assets </w:t>
            </w:r>
          </w:p>
        </w:tc>
      </w:tr>
      <w:tr w:rsidR="008E5DF6" w:rsidRPr="00AE28C6" w:rsidTr="00A565AE">
        <w:tc>
          <w:tcPr>
            <w:tcW w:w="8640" w:type="dxa"/>
            <w:gridSpan w:val="3"/>
            <w:tcBorders>
              <w:top w:val="nil"/>
              <w:left w:val="nil"/>
              <w:bottom w:val="nil"/>
              <w:right w:val="nil"/>
            </w:tcBorders>
          </w:tcPr>
          <w:p w:rsidR="008E5DF6" w:rsidRPr="00AE28C6" w:rsidRDefault="008E5DF6" w:rsidP="001E402D">
            <w:pPr>
              <w:pStyle w:val="CommentText"/>
              <w:spacing w:line="360" w:lineRule="auto"/>
              <w:rPr>
                <w:rFonts w:ascii="Times New Roman" w:hAnsi="Times New Roman" w:cs="Times New Roman"/>
                <w:szCs w:val="24"/>
              </w:rPr>
            </w:pPr>
            <w:r w:rsidRPr="00AE28C6">
              <w:rPr>
                <w:rFonts w:ascii="Times New Roman" w:hAnsi="Times New Roman" w:cs="Times New Roman"/>
                <w:szCs w:val="24"/>
              </w:rPr>
              <w:t xml:space="preserve">External </w:t>
            </w:r>
            <w:r w:rsidR="001E402D">
              <w:rPr>
                <w:rFonts w:ascii="Times New Roman" w:hAnsi="Times New Roman" w:cs="Times New Roman"/>
                <w:szCs w:val="24"/>
              </w:rPr>
              <w:t>f</w:t>
            </w:r>
            <w:r w:rsidR="001E402D" w:rsidRPr="00AE28C6">
              <w:rPr>
                <w:rFonts w:ascii="Times New Roman" w:hAnsi="Times New Roman" w:cs="Times New Roman"/>
                <w:szCs w:val="24"/>
              </w:rPr>
              <w:t>actors</w:t>
            </w:r>
          </w:p>
        </w:tc>
      </w:tr>
      <w:tr w:rsidR="008E5DF6" w:rsidRPr="00AE28C6" w:rsidTr="00A565AE">
        <w:tc>
          <w:tcPr>
            <w:tcW w:w="2608" w:type="dxa"/>
            <w:tcBorders>
              <w:top w:val="nil"/>
              <w:left w:val="nil"/>
              <w:bottom w:val="nil"/>
              <w:right w:val="nil"/>
            </w:tcBorders>
          </w:tcPr>
          <w:p w:rsidR="008E5DF6" w:rsidRPr="00AE28C6" w:rsidRDefault="008E5DF6" w:rsidP="008E5DF6">
            <w:pPr>
              <w:pStyle w:val="CommentText"/>
              <w:spacing w:line="360" w:lineRule="auto"/>
              <w:rPr>
                <w:rFonts w:ascii="Times New Roman" w:hAnsi="Times New Roman" w:cs="Times New Roman"/>
                <w:szCs w:val="24"/>
              </w:rPr>
            </w:pPr>
            <w:r w:rsidRPr="00AE28C6">
              <w:rPr>
                <w:rFonts w:ascii="Times New Roman" w:hAnsi="Times New Roman" w:cs="Times New Roman"/>
                <w:szCs w:val="24"/>
              </w:rPr>
              <w:t xml:space="preserve">        </w:t>
            </w:r>
            <w:r w:rsidR="00B418B5">
              <w:rPr>
                <w:rFonts w:ascii="Times New Roman" w:hAnsi="Times New Roman" w:cs="Times New Roman"/>
                <w:szCs w:val="24"/>
              </w:rPr>
              <w:t xml:space="preserve">  </w:t>
            </w:r>
            <w:r w:rsidRPr="00AE28C6">
              <w:rPr>
                <w:rFonts w:ascii="Times New Roman" w:hAnsi="Times New Roman" w:cs="Times New Roman"/>
                <w:szCs w:val="24"/>
              </w:rPr>
              <w:t>GDP</w:t>
            </w:r>
          </w:p>
        </w:tc>
        <w:tc>
          <w:tcPr>
            <w:tcW w:w="6032" w:type="dxa"/>
            <w:gridSpan w:val="2"/>
            <w:tcBorders>
              <w:top w:val="nil"/>
              <w:left w:val="nil"/>
              <w:bottom w:val="nil"/>
              <w:right w:val="nil"/>
            </w:tcBorders>
            <w:vAlign w:val="center"/>
          </w:tcPr>
          <w:p w:rsidR="008E5DF6" w:rsidRPr="00AE28C6" w:rsidRDefault="008E5DF6" w:rsidP="00EC2C6E">
            <w:pPr>
              <w:pStyle w:val="CommentText"/>
              <w:spacing w:line="360" w:lineRule="auto"/>
              <w:rPr>
                <w:rFonts w:ascii="Times New Roman" w:hAnsi="Times New Roman" w:cs="Times New Roman"/>
                <w:szCs w:val="24"/>
              </w:rPr>
            </w:pPr>
            <w:r w:rsidRPr="00AE28C6">
              <w:rPr>
                <w:rFonts w:ascii="Times New Roman" w:hAnsi="Times New Roman" w:cs="Times New Roman"/>
                <w:szCs w:val="24"/>
              </w:rPr>
              <w:t>Inflation</w:t>
            </w:r>
            <w:r w:rsidR="00EC2C6E">
              <w:rPr>
                <w:rFonts w:ascii="Times New Roman" w:hAnsi="Times New Roman" w:cs="Times New Roman"/>
                <w:szCs w:val="24"/>
              </w:rPr>
              <w:t>-</w:t>
            </w:r>
            <w:r w:rsidRPr="00AE28C6">
              <w:rPr>
                <w:rFonts w:ascii="Times New Roman" w:hAnsi="Times New Roman" w:cs="Times New Roman"/>
                <w:szCs w:val="24"/>
              </w:rPr>
              <w:t xml:space="preserve">adjusted annual </w:t>
            </w:r>
            <w:r w:rsidR="00EC2C6E" w:rsidRPr="00AE28C6">
              <w:rPr>
                <w:rFonts w:ascii="Times New Roman" w:hAnsi="Times New Roman" w:cs="Times New Roman"/>
                <w:szCs w:val="24"/>
              </w:rPr>
              <w:t>gro</w:t>
            </w:r>
            <w:r w:rsidR="00EC2C6E">
              <w:rPr>
                <w:rFonts w:ascii="Times New Roman" w:hAnsi="Times New Roman" w:cs="Times New Roman"/>
                <w:szCs w:val="24"/>
              </w:rPr>
              <w:t>ss</w:t>
            </w:r>
            <w:r w:rsidR="00EC2C6E" w:rsidRPr="00AE28C6">
              <w:rPr>
                <w:rFonts w:ascii="Times New Roman" w:hAnsi="Times New Roman" w:cs="Times New Roman"/>
                <w:szCs w:val="24"/>
              </w:rPr>
              <w:t xml:space="preserve"> </w:t>
            </w:r>
            <w:r w:rsidRPr="00AE28C6">
              <w:rPr>
                <w:rFonts w:ascii="Times New Roman" w:hAnsi="Times New Roman" w:cs="Times New Roman"/>
                <w:szCs w:val="24"/>
              </w:rPr>
              <w:t>domestic product</w:t>
            </w:r>
          </w:p>
        </w:tc>
      </w:tr>
      <w:tr w:rsidR="008E5DF6" w:rsidRPr="00AE28C6" w:rsidTr="00A565AE">
        <w:tc>
          <w:tcPr>
            <w:tcW w:w="2608" w:type="dxa"/>
            <w:tcBorders>
              <w:top w:val="nil"/>
              <w:left w:val="nil"/>
              <w:bottom w:val="nil"/>
              <w:right w:val="nil"/>
            </w:tcBorders>
          </w:tcPr>
          <w:p w:rsidR="008E5DF6" w:rsidRPr="00AE28C6" w:rsidRDefault="008E5DF6" w:rsidP="008E5DF6">
            <w:pPr>
              <w:pStyle w:val="CommentText"/>
              <w:spacing w:line="360" w:lineRule="auto"/>
              <w:rPr>
                <w:rFonts w:ascii="Times New Roman" w:hAnsi="Times New Roman" w:cs="Times New Roman"/>
                <w:szCs w:val="24"/>
              </w:rPr>
            </w:pPr>
            <w:r w:rsidRPr="00AE28C6">
              <w:rPr>
                <w:rFonts w:ascii="Times New Roman" w:hAnsi="Times New Roman" w:cs="Times New Roman"/>
                <w:szCs w:val="24"/>
              </w:rPr>
              <w:t xml:space="preserve">        </w:t>
            </w:r>
            <w:r w:rsidR="00B418B5">
              <w:rPr>
                <w:rFonts w:ascii="Times New Roman" w:hAnsi="Times New Roman" w:cs="Times New Roman"/>
                <w:szCs w:val="24"/>
              </w:rPr>
              <w:t xml:space="preserve">  </w:t>
            </w:r>
            <w:r w:rsidRPr="00AE28C6">
              <w:rPr>
                <w:rFonts w:ascii="Times New Roman" w:hAnsi="Times New Roman" w:cs="Times New Roman"/>
                <w:szCs w:val="24"/>
              </w:rPr>
              <w:t>Inflation rate (INF)</w:t>
            </w:r>
          </w:p>
        </w:tc>
        <w:tc>
          <w:tcPr>
            <w:tcW w:w="6032" w:type="dxa"/>
            <w:gridSpan w:val="2"/>
            <w:tcBorders>
              <w:top w:val="nil"/>
              <w:left w:val="nil"/>
              <w:bottom w:val="nil"/>
              <w:right w:val="nil"/>
            </w:tcBorders>
            <w:vAlign w:val="center"/>
          </w:tcPr>
          <w:p w:rsidR="008E5DF6" w:rsidRPr="00AE28C6" w:rsidRDefault="008E5DF6" w:rsidP="00FB0EE8">
            <w:pPr>
              <w:pStyle w:val="CommentText"/>
              <w:spacing w:line="360" w:lineRule="auto"/>
              <w:rPr>
                <w:rFonts w:ascii="Times New Roman" w:hAnsi="Times New Roman" w:cs="Times New Roman"/>
                <w:szCs w:val="24"/>
              </w:rPr>
            </w:pPr>
            <w:r w:rsidRPr="00AE28C6">
              <w:rPr>
                <w:rFonts w:ascii="Times New Roman" w:hAnsi="Times New Roman" w:cs="Times New Roman"/>
                <w:szCs w:val="24"/>
              </w:rPr>
              <w:t>Annual inflation rate</w:t>
            </w:r>
          </w:p>
        </w:tc>
      </w:tr>
      <w:tr w:rsidR="008E5DF6" w:rsidRPr="00AE28C6" w:rsidTr="00A565AE">
        <w:tc>
          <w:tcPr>
            <w:tcW w:w="2608" w:type="dxa"/>
            <w:tcBorders>
              <w:top w:val="nil"/>
              <w:left w:val="nil"/>
              <w:bottom w:val="nil"/>
              <w:right w:val="nil"/>
            </w:tcBorders>
          </w:tcPr>
          <w:p w:rsidR="008E5DF6" w:rsidRPr="00AE28C6" w:rsidRDefault="008E5DF6" w:rsidP="008E5DF6">
            <w:pPr>
              <w:pStyle w:val="CommentText"/>
              <w:spacing w:line="360" w:lineRule="auto"/>
              <w:rPr>
                <w:rFonts w:ascii="Times New Roman" w:hAnsi="Times New Roman" w:cs="Times New Roman"/>
                <w:szCs w:val="24"/>
              </w:rPr>
            </w:pPr>
            <w:r w:rsidRPr="00AE28C6">
              <w:rPr>
                <w:rFonts w:ascii="Times New Roman" w:hAnsi="Times New Roman" w:cs="Times New Roman"/>
                <w:szCs w:val="24"/>
              </w:rPr>
              <w:t xml:space="preserve">        </w:t>
            </w:r>
            <w:r w:rsidR="00B418B5">
              <w:rPr>
                <w:rFonts w:ascii="Times New Roman" w:hAnsi="Times New Roman" w:cs="Times New Roman"/>
                <w:szCs w:val="24"/>
              </w:rPr>
              <w:t xml:space="preserve">  </w:t>
            </w:r>
            <w:r w:rsidRPr="00AE28C6">
              <w:rPr>
                <w:rFonts w:ascii="Times New Roman" w:hAnsi="Times New Roman" w:cs="Times New Roman"/>
                <w:szCs w:val="24"/>
              </w:rPr>
              <w:t>Money supply (MS)</w:t>
            </w:r>
          </w:p>
        </w:tc>
        <w:tc>
          <w:tcPr>
            <w:tcW w:w="6032" w:type="dxa"/>
            <w:gridSpan w:val="2"/>
            <w:tcBorders>
              <w:top w:val="nil"/>
              <w:left w:val="nil"/>
              <w:bottom w:val="nil"/>
              <w:right w:val="nil"/>
            </w:tcBorders>
            <w:vAlign w:val="center"/>
          </w:tcPr>
          <w:p w:rsidR="008E5DF6" w:rsidRPr="00AE28C6" w:rsidRDefault="00EC2C6E" w:rsidP="00FB0EE8">
            <w:pPr>
              <w:pStyle w:val="CommentText"/>
              <w:spacing w:line="360" w:lineRule="auto"/>
              <w:rPr>
                <w:rFonts w:ascii="Times New Roman" w:hAnsi="Times New Roman" w:cs="Times New Roman"/>
                <w:szCs w:val="24"/>
              </w:rPr>
            </w:pPr>
            <w:r>
              <w:rPr>
                <w:rFonts w:ascii="Times New Roman" w:hAnsi="Times New Roman" w:cs="Times New Roman"/>
                <w:szCs w:val="24"/>
              </w:rPr>
              <w:t>T</w:t>
            </w:r>
            <w:r w:rsidR="008E5DF6" w:rsidRPr="00AE28C6">
              <w:rPr>
                <w:rFonts w:ascii="Times New Roman" w:hAnsi="Times New Roman" w:cs="Times New Roman"/>
                <w:szCs w:val="24"/>
              </w:rPr>
              <w:t>he total amount of money available in the country for each year</w:t>
            </w:r>
          </w:p>
        </w:tc>
      </w:tr>
      <w:tr w:rsidR="008E5DF6" w:rsidRPr="00AE28C6" w:rsidTr="00A565AE">
        <w:tc>
          <w:tcPr>
            <w:tcW w:w="2608" w:type="dxa"/>
            <w:tcBorders>
              <w:top w:val="nil"/>
              <w:left w:val="nil"/>
              <w:bottom w:val="single" w:sz="4" w:space="0" w:color="auto"/>
              <w:right w:val="nil"/>
            </w:tcBorders>
          </w:tcPr>
          <w:p w:rsidR="00662D84" w:rsidRDefault="00EC2C6E" w:rsidP="00662D84">
            <w:pPr>
              <w:pStyle w:val="CommentText"/>
              <w:spacing w:line="360" w:lineRule="auto"/>
              <w:rPr>
                <w:rFonts w:ascii="Times New Roman" w:hAnsi="Times New Roman" w:cs="Times New Roman"/>
                <w:szCs w:val="24"/>
              </w:rPr>
            </w:pPr>
            <w:r>
              <w:rPr>
                <w:rFonts w:ascii="Times New Roman" w:hAnsi="Times New Roman" w:cs="Times New Roman"/>
                <w:szCs w:val="24"/>
              </w:rPr>
              <w:t xml:space="preserve">         </w:t>
            </w:r>
            <w:r w:rsidR="008E5DF6" w:rsidRPr="00AE28C6">
              <w:rPr>
                <w:rFonts w:ascii="Times New Roman" w:hAnsi="Times New Roman" w:cs="Times New Roman"/>
                <w:szCs w:val="24"/>
              </w:rPr>
              <w:t xml:space="preserve">Taxation indicator </w:t>
            </w:r>
          </w:p>
          <w:p w:rsidR="008E5DF6" w:rsidRPr="00AE28C6" w:rsidRDefault="008E5DF6" w:rsidP="00FB0EE8">
            <w:pPr>
              <w:pStyle w:val="CommentText"/>
              <w:spacing w:line="360" w:lineRule="auto"/>
              <w:jc w:val="center"/>
              <w:rPr>
                <w:rFonts w:ascii="Times New Roman" w:hAnsi="Times New Roman" w:cs="Times New Roman"/>
                <w:szCs w:val="24"/>
              </w:rPr>
            </w:pPr>
            <w:r w:rsidRPr="00AE28C6">
              <w:rPr>
                <w:rFonts w:ascii="Times New Roman" w:hAnsi="Times New Roman" w:cs="Times New Roman"/>
                <w:szCs w:val="24"/>
              </w:rPr>
              <w:t>variable (TAX)</w:t>
            </w:r>
          </w:p>
        </w:tc>
        <w:tc>
          <w:tcPr>
            <w:tcW w:w="6032" w:type="dxa"/>
            <w:gridSpan w:val="2"/>
            <w:tcBorders>
              <w:top w:val="nil"/>
              <w:left w:val="nil"/>
              <w:bottom w:val="single" w:sz="4" w:space="0" w:color="auto"/>
              <w:right w:val="nil"/>
            </w:tcBorders>
            <w:vAlign w:val="center"/>
          </w:tcPr>
          <w:p w:rsidR="008E5DF6" w:rsidRPr="00AE28C6" w:rsidRDefault="008E5DF6" w:rsidP="00FB0EE8">
            <w:pPr>
              <w:pStyle w:val="CommentText"/>
              <w:spacing w:line="360" w:lineRule="auto"/>
              <w:rPr>
                <w:rFonts w:ascii="Times New Roman" w:hAnsi="Times New Roman" w:cs="Times New Roman"/>
                <w:szCs w:val="24"/>
              </w:rPr>
            </w:pPr>
            <w:r w:rsidRPr="00AE28C6">
              <w:rPr>
                <w:rFonts w:ascii="Times New Roman" w:hAnsi="Times New Roman" w:cs="Times New Roman"/>
                <w:szCs w:val="24"/>
              </w:rPr>
              <w:t>Total taxes/before tax profits for each bank</w:t>
            </w:r>
          </w:p>
        </w:tc>
      </w:tr>
      <w:tr w:rsidR="008E5DF6" w:rsidRPr="00AE28C6" w:rsidTr="00A565AE">
        <w:tc>
          <w:tcPr>
            <w:tcW w:w="8640" w:type="dxa"/>
            <w:gridSpan w:val="3"/>
            <w:tcBorders>
              <w:top w:val="single" w:sz="4" w:space="0" w:color="auto"/>
              <w:left w:val="nil"/>
              <w:bottom w:val="nil"/>
              <w:right w:val="nil"/>
            </w:tcBorders>
            <w:vAlign w:val="center"/>
          </w:tcPr>
          <w:p w:rsidR="008E5DF6" w:rsidRPr="00AE28C6" w:rsidRDefault="008E5DF6" w:rsidP="00EC2C6E">
            <w:pPr>
              <w:pStyle w:val="CommentText"/>
              <w:spacing w:line="360" w:lineRule="auto"/>
              <w:jc w:val="center"/>
              <w:rPr>
                <w:rFonts w:ascii="Times New Roman" w:hAnsi="Times New Roman" w:cs="Times New Roman"/>
                <w:szCs w:val="24"/>
              </w:rPr>
            </w:pPr>
            <w:r w:rsidRPr="00AE28C6">
              <w:rPr>
                <w:rFonts w:ascii="Times New Roman" w:hAnsi="Times New Roman" w:cs="Times New Roman"/>
                <w:szCs w:val="24"/>
              </w:rPr>
              <w:t xml:space="preserve">Moderator </w:t>
            </w:r>
            <w:r w:rsidR="00EC2C6E">
              <w:rPr>
                <w:rFonts w:ascii="Times New Roman" w:hAnsi="Times New Roman" w:cs="Times New Roman"/>
                <w:szCs w:val="24"/>
              </w:rPr>
              <w:t>v</w:t>
            </w:r>
            <w:r w:rsidR="00EC2C6E" w:rsidRPr="00AE28C6">
              <w:rPr>
                <w:rFonts w:ascii="Times New Roman" w:hAnsi="Times New Roman" w:cs="Times New Roman"/>
                <w:szCs w:val="24"/>
              </w:rPr>
              <w:t>ariables</w:t>
            </w:r>
          </w:p>
        </w:tc>
      </w:tr>
      <w:tr w:rsidR="008E5DF6" w:rsidRPr="00AE28C6" w:rsidTr="00A565AE">
        <w:tc>
          <w:tcPr>
            <w:tcW w:w="2608" w:type="dxa"/>
            <w:tcBorders>
              <w:top w:val="nil"/>
              <w:left w:val="nil"/>
              <w:bottom w:val="nil"/>
              <w:right w:val="nil"/>
            </w:tcBorders>
          </w:tcPr>
          <w:p w:rsidR="008E5DF6" w:rsidRPr="00AE28C6" w:rsidRDefault="008E5DF6" w:rsidP="008E5DF6">
            <w:pPr>
              <w:pStyle w:val="CommentText"/>
              <w:spacing w:line="360" w:lineRule="auto"/>
              <w:rPr>
                <w:rFonts w:ascii="Times New Roman" w:hAnsi="Times New Roman" w:cs="Times New Roman"/>
                <w:szCs w:val="24"/>
              </w:rPr>
            </w:pPr>
            <w:r w:rsidRPr="00AE28C6">
              <w:rPr>
                <w:rFonts w:ascii="Times New Roman" w:hAnsi="Times New Roman" w:cs="Times New Roman"/>
                <w:szCs w:val="24"/>
              </w:rPr>
              <w:t>Bank maturity (AGE)</w:t>
            </w:r>
          </w:p>
        </w:tc>
        <w:tc>
          <w:tcPr>
            <w:tcW w:w="6032" w:type="dxa"/>
            <w:gridSpan w:val="2"/>
            <w:tcBorders>
              <w:top w:val="nil"/>
              <w:left w:val="nil"/>
              <w:bottom w:val="nil"/>
              <w:right w:val="nil"/>
            </w:tcBorders>
            <w:vAlign w:val="bottom"/>
          </w:tcPr>
          <w:p w:rsidR="008E5DF6" w:rsidRPr="00AE28C6" w:rsidRDefault="00EC2C6E" w:rsidP="00E26159">
            <w:pPr>
              <w:pStyle w:val="CommentText"/>
              <w:spacing w:line="360" w:lineRule="auto"/>
              <w:rPr>
                <w:rFonts w:ascii="Times New Roman" w:hAnsi="Times New Roman" w:cs="Times New Roman"/>
                <w:szCs w:val="24"/>
              </w:rPr>
            </w:pPr>
            <w:r>
              <w:rPr>
                <w:rFonts w:ascii="Times New Roman" w:hAnsi="Times New Roman" w:cs="Times New Roman"/>
                <w:szCs w:val="24"/>
              </w:rPr>
              <w:t>T</w:t>
            </w:r>
            <w:r w:rsidR="008E5DF6" w:rsidRPr="00AE28C6">
              <w:rPr>
                <w:rFonts w:ascii="Times New Roman" w:hAnsi="Times New Roman" w:cs="Times New Roman"/>
                <w:szCs w:val="24"/>
              </w:rPr>
              <w:t>he maturity of banks in years</w:t>
            </w:r>
          </w:p>
        </w:tc>
      </w:tr>
      <w:tr w:rsidR="008E5DF6" w:rsidRPr="00AE28C6" w:rsidTr="00A565AE">
        <w:tc>
          <w:tcPr>
            <w:tcW w:w="2608" w:type="dxa"/>
            <w:tcBorders>
              <w:top w:val="nil"/>
              <w:left w:val="nil"/>
              <w:bottom w:val="single" w:sz="4" w:space="0" w:color="auto"/>
              <w:right w:val="nil"/>
            </w:tcBorders>
          </w:tcPr>
          <w:p w:rsidR="008E5DF6" w:rsidRPr="00AE28C6" w:rsidRDefault="008E5DF6" w:rsidP="008E5DF6">
            <w:pPr>
              <w:pStyle w:val="CommentText"/>
              <w:tabs>
                <w:tab w:val="right" w:pos="1782"/>
              </w:tabs>
              <w:spacing w:line="360" w:lineRule="auto"/>
              <w:rPr>
                <w:rFonts w:ascii="Times New Roman" w:hAnsi="Times New Roman" w:cs="Times New Roman"/>
                <w:szCs w:val="24"/>
              </w:rPr>
            </w:pPr>
            <w:r w:rsidRPr="00AE28C6">
              <w:rPr>
                <w:rFonts w:ascii="Times New Roman" w:hAnsi="Times New Roman" w:cs="Times New Roman"/>
                <w:szCs w:val="24"/>
              </w:rPr>
              <w:t>Crisis</w:t>
            </w:r>
            <w:r w:rsidR="00C61B7F">
              <w:rPr>
                <w:rFonts w:ascii="Times New Roman" w:hAnsi="Times New Roman" w:cs="Times New Roman"/>
                <w:szCs w:val="24"/>
              </w:rPr>
              <w:t xml:space="preserve"> </w:t>
            </w:r>
            <w:r w:rsidRPr="00AE28C6">
              <w:rPr>
                <w:rFonts w:ascii="Times New Roman" w:hAnsi="Times New Roman" w:cs="Times New Roman"/>
                <w:szCs w:val="24"/>
              </w:rPr>
              <w:t>2008</w:t>
            </w:r>
          </w:p>
        </w:tc>
        <w:tc>
          <w:tcPr>
            <w:tcW w:w="6032" w:type="dxa"/>
            <w:gridSpan w:val="2"/>
            <w:tcBorders>
              <w:top w:val="nil"/>
              <w:left w:val="nil"/>
              <w:bottom w:val="single" w:sz="4" w:space="0" w:color="auto"/>
              <w:right w:val="nil"/>
            </w:tcBorders>
            <w:vAlign w:val="center"/>
          </w:tcPr>
          <w:p w:rsidR="008E5DF6" w:rsidRPr="00AE28C6" w:rsidRDefault="008E5DF6" w:rsidP="00E26159">
            <w:pPr>
              <w:pStyle w:val="CommentText"/>
              <w:spacing w:line="360" w:lineRule="auto"/>
              <w:rPr>
                <w:rFonts w:ascii="Times New Roman" w:hAnsi="Times New Roman" w:cs="Times New Roman"/>
                <w:szCs w:val="24"/>
              </w:rPr>
            </w:pPr>
            <w:r w:rsidRPr="00AE28C6">
              <w:rPr>
                <w:rFonts w:ascii="Times New Roman" w:hAnsi="Times New Roman" w:cs="Times New Roman"/>
                <w:szCs w:val="24"/>
              </w:rPr>
              <w:t>The binary variable used for representing the financial crisis of 2008</w:t>
            </w:r>
          </w:p>
        </w:tc>
      </w:tr>
      <w:tr w:rsidR="008E5DF6" w:rsidRPr="00AE28C6" w:rsidTr="00A565AE">
        <w:tc>
          <w:tcPr>
            <w:tcW w:w="8640" w:type="dxa"/>
            <w:gridSpan w:val="3"/>
            <w:tcBorders>
              <w:top w:val="single" w:sz="4" w:space="0" w:color="auto"/>
              <w:left w:val="nil"/>
              <w:bottom w:val="nil"/>
              <w:right w:val="nil"/>
            </w:tcBorders>
            <w:vAlign w:val="center"/>
          </w:tcPr>
          <w:p w:rsidR="008E5DF6" w:rsidRPr="00AE28C6" w:rsidRDefault="008E5DF6" w:rsidP="008E5DF6">
            <w:pPr>
              <w:pStyle w:val="CommentText"/>
              <w:spacing w:line="360" w:lineRule="auto"/>
              <w:jc w:val="center"/>
              <w:rPr>
                <w:rFonts w:ascii="Times New Roman" w:hAnsi="Times New Roman" w:cs="Times New Roman"/>
                <w:szCs w:val="24"/>
              </w:rPr>
            </w:pPr>
            <w:r w:rsidRPr="00AE28C6">
              <w:rPr>
                <w:rFonts w:ascii="Times New Roman" w:hAnsi="Times New Roman" w:cs="Times New Roman"/>
                <w:szCs w:val="24"/>
              </w:rPr>
              <w:t>Dependent variable</w:t>
            </w:r>
          </w:p>
        </w:tc>
      </w:tr>
      <w:tr w:rsidR="008E5DF6" w:rsidRPr="00AE28C6" w:rsidTr="00A565AE">
        <w:tc>
          <w:tcPr>
            <w:tcW w:w="2608" w:type="dxa"/>
            <w:tcBorders>
              <w:top w:val="nil"/>
              <w:left w:val="nil"/>
              <w:bottom w:val="single" w:sz="4" w:space="0" w:color="auto"/>
              <w:right w:val="nil"/>
            </w:tcBorders>
          </w:tcPr>
          <w:p w:rsidR="008E5DF6" w:rsidRPr="00AE28C6" w:rsidRDefault="008E5DF6" w:rsidP="00FB0EE8">
            <w:pPr>
              <w:pStyle w:val="CommentText"/>
              <w:spacing w:line="360" w:lineRule="auto"/>
              <w:rPr>
                <w:rFonts w:ascii="Times New Roman" w:hAnsi="Times New Roman" w:cs="Times New Roman"/>
                <w:szCs w:val="24"/>
              </w:rPr>
            </w:pPr>
            <w:r w:rsidRPr="00AE28C6">
              <w:rPr>
                <w:rFonts w:ascii="Times New Roman" w:hAnsi="Times New Roman" w:cs="Times New Roman"/>
                <w:szCs w:val="24"/>
              </w:rPr>
              <w:t>ROA</w:t>
            </w:r>
          </w:p>
        </w:tc>
        <w:tc>
          <w:tcPr>
            <w:tcW w:w="6032" w:type="dxa"/>
            <w:gridSpan w:val="2"/>
            <w:tcBorders>
              <w:top w:val="nil"/>
              <w:left w:val="nil"/>
              <w:bottom w:val="single" w:sz="4" w:space="0" w:color="auto"/>
              <w:right w:val="nil"/>
            </w:tcBorders>
          </w:tcPr>
          <w:p w:rsidR="008E5DF6" w:rsidRPr="00AE28C6" w:rsidRDefault="008E5DF6" w:rsidP="00FB0EE8">
            <w:pPr>
              <w:pStyle w:val="CommentText"/>
              <w:spacing w:line="360" w:lineRule="auto"/>
              <w:rPr>
                <w:rFonts w:ascii="Times New Roman" w:hAnsi="Times New Roman" w:cs="Times New Roman"/>
                <w:szCs w:val="24"/>
              </w:rPr>
            </w:pPr>
            <w:r w:rsidRPr="00AE28C6">
              <w:rPr>
                <w:rFonts w:ascii="Times New Roman" w:hAnsi="Times New Roman" w:cs="Times New Roman"/>
                <w:szCs w:val="24"/>
              </w:rPr>
              <w:t>Net income/total assets</w:t>
            </w:r>
          </w:p>
        </w:tc>
      </w:tr>
      <w:tr w:rsidR="008E5DF6" w:rsidRPr="00AE28C6" w:rsidTr="00A565AE">
        <w:tc>
          <w:tcPr>
            <w:tcW w:w="8640" w:type="dxa"/>
            <w:gridSpan w:val="3"/>
            <w:tcBorders>
              <w:top w:val="single" w:sz="4" w:space="0" w:color="auto"/>
              <w:left w:val="nil"/>
              <w:bottom w:val="nil"/>
              <w:right w:val="nil"/>
            </w:tcBorders>
          </w:tcPr>
          <w:p w:rsidR="008E5DF6" w:rsidRPr="00AE28C6" w:rsidRDefault="008E5DF6" w:rsidP="00EC2C6E">
            <w:pPr>
              <w:pStyle w:val="CommentText"/>
              <w:spacing w:line="360" w:lineRule="auto"/>
              <w:rPr>
                <w:rFonts w:ascii="Times New Roman" w:hAnsi="Times New Roman" w:cs="Times New Roman"/>
                <w:sz w:val="24"/>
                <w:szCs w:val="24"/>
              </w:rPr>
            </w:pPr>
            <w:r w:rsidRPr="00AE28C6">
              <w:rPr>
                <w:rFonts w:ascii="Times New Roman" w:hAnsi="Times New Roman" w:cs="Times New Roman"/>
                <w:i/>
                <w:szCs w:val="24"/>
              </w:rPr>
              <w:t>Note</w:t>
            </w:r>
            <w:r w:rsidRPr="00AE28C6">
              <w:rPr>
                <w:rFonts w:ascii="Times New Roman" w:hAnsi="Times New Roman" w:cs="Times New Roman"/>
                <w:szCs w:val="24"/>
              </w:rPr>
              <w:t>.</w:t>
            </w:r>
            <w:r w:rsidR="00EC2C6E">
              <w:rPr>
                <w:rFonts w:ascii="Times New Roman" w:hAnsi="Times New Roman" w:cs="Times New Roman"/>
                <w:szCs w:val="24"/>
              </w:rPr>
              <w:t xml:space="preserve"> </w:t>
            </w:r>
            <w:r w:rsidRPr="00AE28C6">
              <w:rPr>
                <w:rFonts w:ascii="Times New Roman" w:hAnsi="Times New Roman" w:cs="Times New Roman"/>
                <w:szCs w:val="24"/>
              </w:rPr>
              <w:t xml:space="preserve">ROA = return on assets. </w:t>
            </w:r>
          </w:p>
        </w:tc>
      </w:tr>
    </w:tbl>
    <w:p w:rsidR="00662D84" w:rsidRDefault="00662D84" w:rsidP="00662D84">
      <w:pPr>
        <w:spacing w:after="0" w:line="480" w:lineRule="auto"/>
        <w:rPr>
          <w:rFonts w:ascii="Times New Roman" w:hAnsi="Times New Roman" w:cs="Times New Roman"/>
          <w:sz w:val="24"/>
          <w:szCs w:val="24"/>
        </w:rPr>
      </w:pPr>
    </w:p>
    <w:p w:rsidR="00662D84" w:rsidRDefault="00484E66" w:rsidP="00662D84">
      <w:pPr>
        <w:pStyle w:val="Heading2"/>
        <w:spacing w:before="0" w:line="480" w:lineRule="auto"/>
        <w:rPr>
          <w:rFonts w:ascii="Times New Roman" w:hAnsi="Times New Roman" w:cs="Times New Roman"/>
          <w:color w:val="auto"/>
          <w:sz w:val="24"/>
        </w:rPr>
      </w:pPr>
      <w:bookmarkStart w:id="21" w:name="_Toc346718440"/>
      <w:r w:rsidRPr="001D4AB4">
        <w:rPr>
          <w:rFonts w:ascii="Times New Roman" w:hAnsi="Times New Roman" w:cs="Times New Roman"/>
          <w:color w:val="auto"/>
          <w:sz w:val="24"/>
        </w:rPr>
        <w:t>3.3</w:t>
      </w:r>
      <w:r w:rsidR="000C3550" w:rsidRPr="001D4AB4">
        <w:rPr>
          <w:rFonts w:ascii="Times New Roman" w:hAnsi="Times New Roman" w:cs="Times New Roman"/>
          <w:color w:val="auto"/>
          <w:sz w:val="24"/>
        </w:rPr>
        <w:t xml:space="preserve">. </w:t>
      </w:r>
      <w:r w:rsidR="00436132" w:rsidRPr="001D4AB4">
        <w:rPr>
          <w:rFonts w:ascii="Times New Roman" w:hAnsi="Times New Roman" w:cs="Times New Roman"/>
          <w:color w:val="auto"/>
          <w:sz w:val="24"/>
        </w:rPr>
        <w:t>S</w:t>
      </w:r>
      <w:r w:rsidR="005C242E">
        <w:rPr>
          <w:rFonts w:ascii="Times New Roman" w:hAnsi="Times New Roman" w:cs="Times New Roman"/>
          <w:color w:val="auto"/>
          <w:sz w:val="24"/>
        </w:rPr>
        <w:t>tatistical A</w:t>
      </w:r>
      <w:r w:rsidR="000D6980" w:rsidRPr="001D4AB4">
        <w:rPr>
          <w:rFonts w:ascii="Times New Roman" w:hAnsi="Times New Roman" w:cs="Times New Roman"/>
          <w:color w:val="auto"/>
          <w:sz w:val="24"/>
        </w:rPr>
        <w:t>nalysis</w:t>
      </w:r>
      <w:bookmarkEnd w:id="21"/>
    </w:p>
    <w:p w:rsidR="0047701A" w:rsidRDefault="009C31A3" w:rsidP="00B10338">
      <w:pPr>
        <w:spacing w:line="480" w:lineRule="auto"/>
        <w:rPr>
          <w:rFonts w:ascii="Times New Roman" w:hAnsi="Times New Roman" w:cs="Times New Roman"/>
          <w:sz w:val="24"/>
          <w:szCs w:val="24"/>
        </w:rPr>
      </w:pPr>
      <w:r w:rsidRPr="004B502E">
        <w:rPr>
          <w:rFonts w:ascii="Times New Roman" w:hAnsi="Times New Roman" w:cs="Times New Roman"/>
          <w:b/>
          <w:sz w:val="24"/>
          <w:szCs w:val="24"/>
        </w:rPr>
        <w:tab/>
      </w:r>
      <w:r w:rsidR="00EC2C6E">
        <w:rPr>
          <w:rFonts w:ascii="Times New Roman" w:hAnsi="Times New Roman" w:cs="Times New Roman"/>
          <w:sz w:val="24"/>
          <w:szCs w:val="24"/>
        </w:rPr>
        <w:t>T</w:t>
      </w:r>
      <w:r w:rsidR="005A3AB7">
        <w:rPr>
          <w:rFonts w:ascii="Times New Roman" w:hAnsi="Times New Roman" w:cs="Times New Roman"/>
          <w:sz w:val="24"/>
          <w:szCs w:val="24"/>
        </w:rPr>
        <w:t xml:space="preserve">he present study </w:t>
      </w:r>
      <w:r w:rsidR="00EC2C6E">
        <w:rPr>
          <w:rFonts w:ascii="Times New Roman" w:hAnsi="Times New Roman" w:cs="Times New Roman"/>
          <w:sz w:val="24"/>
          <w:szCs w:val="24"/>
        </w:rPr>
        <w:t xml:space="preserve">will use </w:t>
      </w:r>
      <w:r w:rsidR="005A3AB7">
        <w:rPr>
          <w:rFonts w:ascii="Times New Roman" w:hAnsi="Times New Roman" w:cs="Times New Roman"/>
          <w:sz w:val="24"/>
          <w:szCs w:val="24"/>
        </w:rPr>
        <w:t>two statistical techniques, t</w:t>
      </w:r>
      <w:r w:rsidR="001927EB">
        <w:rPr>
          <w:rFonts w:ascii="Times New Roman" w:hAnsi="Times New Roman" w:cs="Times New Roman"/>
          <w:sz w:val="24"/>
          <w:szCs w:val="24"/>
        </w:rPr>
        <w:t xml:space="preserve">he stepwise multiple regression </w:t>
      </w:r>
      <w:r w:rsidR="005A3AB7">
        <w:rPr>
          <w:rFonts w:ascii="Times New Roman" w:hAnsi="Times New Roman" w:cs="Times New Roman"/>
          <w:sz w:val="24"/>
          <w:szCs w:val="24"/>
        </w:rPr>
        <w:t xml:space="preserve">analysis and the moderated multiple regression analysis (MMR). The stepwise regression analysis will be </w:t>
      </w:r>
      <w:r w:rsidR="00EC2C6E">
        <w:rPr>
          <w:rFonts w:ascii="Times New Roman" w:hAnsi="Times New Roman" w:cs="Times New Roman"/>
          <w:sz w:val="24"/>
          <w:szCs w:val="24"/>
        </w:rPr>
        <w:t xml:space="preserve">used to </w:t>
      </w:r>
      <w:r w:rsidR="005A3AB7">
        <w:rPr>
          <w:rFonts w:ascii="Times New Roman" w:hAnsi="Times New Roman" w:cs="Times New Roman"/>
          <w:sz w:val="24"/>
          <w:szCs w:val="24"/>
        </w:rPr>
        <w:t xml:space="preserve">find the set of independent variables </w:t>
      </w:r>
      <w:r w:rsidR="00EC2C6E">
        <w:rPr>
          <w:rFonts w:ascii="Times New Roman" w:hAnsi="Times New Roman" w:cs="Times New Roman"/>
          <w:sz w:val="24"/>
          <w:szCs w:val="24"/>
        </w:rPr>
        <w:t xml:space="preserve">that </w:t>
      </w:r>
      <w:r w:rsidR="005A3AB7">
        <w:rPr>
          <w:rFonts w:ascii="Times New Roman" w:hAnsi="Times New Roman" w:cs="Times New Roman"/>
          <w:sz w:val="24"/>
          <w:szCs w:val="24"/>
        </w:rPr>
        <w:t>account</w:t>
      </w:r>
      <w:r w:rsidR="002A2224">
        <w:rPr>
          <w:rFonts w:ascii="Times New Roman" w:hAnsi="Times New Roman" w:cs="Times New Roman"/>
          <w:sz w:val="24"/>
          <w:szCs w:val="24"/>
        </w:rPr>
        <w:t xml:space="preserve"> for most of the variance in</w:t>
      </w:r>
      <w:r w:rsidR="005A3AB7">
        <w:rPr>
          <w:rFonts w:ascii="Times New Roman" w:hAnsi="Times New Roman" w:cs="Times New Roman"/>
          <w:sz w:val="24"/>
          <w:szCs w:val="24"/>
        </w:rPr>
        <w:t xml:space="preserve"> the dependent variable. On the other hand, the MMR analysis will be </w:t>
      </w:r>
      <w:r w:rsidR="00EC2C6E">
        <w:rPr>
          <w:rFonts w:ascii="Times New Roman" w:hAnsi="Times New Roman" w:cs="Times New Roman"/>
          <w:sz w:val="24"/>
          <w:szCs w:val="24"/>
        </w:rPr>
        <w:t xml:space="preserve">used to evaluate </w:t>
      </w:r>
      <w:r w:rsidR="002A2224">
        <w:rPr>
          <w:rFonts w:ascii="Times New Roman" w:hAnsi="Times New Roman" w:cs="Times New Roman"/>
          <w:sz w:val="24"/>
          <w:szCs w:val="24"/>
        </w:rPr>
        <w:t>the robustness of</w:t>
      </w:r>
      <w:r w:rsidR="005A3AB7">
        <w:rPr>
          <w:rFonts w:ascii="Times New Roman" w:hAnsi="Times New Roman" w:cs="Times New Roman"/>
          <w:sz w:val="24"/>
          <w:szCs w:val="24"/>
        </w:rPr>
        <w:t xml:space="preserve"> res</w:t>
      </w:r>
      <w:r w:rsidR="001927EB">
        <w:rPr>
          <w:rFonts w:ascii="Times New Roman" w:hAnsi="Times New Roman" w:cs="Times New Roman"/>
          <w:sz w:val="24"/>
          <w:szCs w:val="24"/>
        </w:rPr>
        <w:t>ults obtained from the stepwise multiple regression analysis</w:t>
      </w:r>
      <w:r w:rsidR="001224A8">
        <w:rPr>
          <w:rFonts w:ascii="Times New Roman" w:hAnsi="Times New Roman" w:cs="Times New Roman"/>
          <w:sz w:val="24"/>
          <w:szCs w:val="24"/>
        </w:rPr>
        <w:t xml:space="preserve">. In </w:t>
      </w:r>
      <w:r w:rsidR="003B69F0">
        <w:rPr>
          <w:rFonts w:ascii="Times New Roman" w:hAnsi="Times New Roman" w:cs="Times New Roman"/>
          <w:sz w:val="24"/>
          <w:szCs w:val="24"/>
        </w:rPr>
        <w:t>MMR analysis ban</w:t>
      </w:r>
      <w:r w:rsidR="00EC2C6E">
        <w:rPr>
          <w:rFonts w:ascii="Times New Roman" w:hAnsi="Times New Roman" w:cs="Times New Roman"/>
          <w:sz w:val="24"/>
          <w:szCs w:val="24"/>
        </w:rPr>
        <w:t>k</w:t>
      </w:r>
      <w:r w:rsidR="001927EB">
        <w:rPr>
          <w:rFonts w:ascii="Times New Roman" w:hAnsi="Times New Roman" w:cs="Times New Roman"/>
          <w:sz w:val="24"/>
          <w:szCs w:val="24"/>
        </w:rPr>
        <w:t xml:space="preserve"> maturity (AGE) and the </w:t>
      </w:r>
      <w:r w:rsidR="00DC0077">
        <w:rPr>
          <w:rFonts w:ascii="Times New Roman" w:hAnsi="Times New Roman" w:cs="Times New Roman"/>
          <w:sz w:val="24"/>
          <w:szCs w:val="24"/>
        </w:rPr>
        <w:t xml:space="preserve">financial </w:t>
      </w:r>
      <w:r w:rsidR="001927EB">
        <w:rPr>
          <w:rFonts w:ascii="Times New Roman" w:hAnsi="Times New Roman" w:cs="Times New Roman"/>
          <w:sz w:val="24"/>
          <w:szCs w:val="24"/>
        </w:rPr>
        <w:t>crisis</w:t>
      </w:r>
    </w:p>
    <w:p w:rsidR="00082537" w:rsidRPr="004B502E" w:rsidRDefault="001927EB" w:rsidP="00B10338">
      <w:pPr>
        <w:spacing w:line="480" w:lineRule="auto"/>
        <w:rPr>
          <w:rFonts w:ascii="Times New Roman" w:hAnsi="Times New Roman" w:cs="Times New Roman"/>
          <w:sz w:val="24"/>
        </w:rPr>
      </w:pPr>
      <w:r>
        <w:rPr>
          <w:rFonts w:ascii="Times New Roman" w:hAnsi="Times New Roman" w:cs="Times New Roman"/>
          <w:sz w:val="24"/>
          <w:szCs w:val="24"/>
        </w:rPr>
        <w:t>(Crisis</w:t>
      </w:r>
      <w:r w:rsidR="00C61B7F">
        <w:rPr>
          <w:rFonts w:ascii="Times New Roman" w:hAnsi="Times New Roman" w:cs="Times New Roman"/>
          <w:sz w:val="24"/>
          <w:szCs w:val="24"/>
        </w:rPr>
        <w:t xml:space="preserve"> </w:t>
      </w:r>
      <w:r>
        <w:rPr>
          <w:rFonts w:ascii="Times New Roman" w:hAnsi="Times New Roman" w:cs="Times New Roman"/>
          <w:sz w:val="24"/>
          <w:szCs w:val="24"/>
        </w:rPr>
        <w:t xml:space="preserve">2008) variables will be used as the moderators. </w:t>
      </w:r>
    </w:p>
    <w:p w:rsidR="00A82392" w:rsidRPr="001D4AB4" w:rsidRDefault="00960CDE" w:rsidP="001D4AB4">
      <w:pPr>
        <w:pStyle w:val="Heading1"/>
        <w:spacing w:line="480" w:lineRule="auto"/>
        <w:jc w:val="center"/>
        <w:rPr>
          <w:rFonts w:ascii="Times New Roman" w:hAnsi="Times New Roman" w:cs="Times New Roman"/>
          <w:color w:val="auto"/>
          <w:sz w:val="24"/>
        </w:rPr>
      </w:pPr>
      <w:bookmarkStart w:id="22" w:name="_Toc346718441"/>
      <w:r w:rsidRPr="001D4AB4">
        <w:rPr>
          <w:rFonts w:ascii="Times New Roman" w:hAnsi="Times New Roman" w:cs="Times New Roman"/>
          <w:color w:val="auto"/>
          <w:sz w:val="24"/>
        </w:rPr>
        <w:t>Budget</w:t>
      </w:r>
      <w:bookmarkEnd w:id="22"/>
    </w:p>
    <w:p w:rsidR="00A82392" w:rsidRPr="004B502E" w:rsidRDefault="00FD0144" w:rsidP="00212AF5">
      <w:pPr>
        <w:spacing w:line="480" w:lineRule="auto"/>
        <w:ind w:firstLine="720"/>
        <w:rPr>
          <w:rFonts w:ascii="Times New Roman" w:hAnsi="Times New Roman" w:cs="Times New Roman"/>
          <w:sz w:val="24"/>
          <w:szCs w:val="24"/>
        </w:rPr>
      </w:pPr>
      <w:r w:rsidRPr="004B502E">
        <w:rPr>
          <w:rFonts w:ascii="Times New Roman" w:hAnsi="Times New Roman" w:cs="Times New Roman"/>
          <w:sz w:val="24"/>
          <w:szCs w:val="24"/>
        </w:rPr>
        <w:t>The b</w:t>
      </w:r>
      <w:r w:rsidR="00FF01BA" w:rsidRPr="004B502E">
        <w:rPr>
          <w:rFonts w:ascii="Times New Roman" w:hAnsi="Times New Roman" w:cs="Times New Roman"/>
          <w:sz w:val="24"/>
          <w:szCs w:val="24"/>
        </w:rPr>
        <w:t>udget would comprise expenses for editori</w:t>
      </w:r>
      <w:r w:rsidR="005C242E">
        <w:rPr>
          <w:rFonts w:ascii="Times New Roman" w:hAnsi="Times New Roman" w:cs="Times New Roman"/>
          <w:sz w:val="24"/>
          <w:szCs w:val="24"/>
        </w:rPr>
        <w:t xml:space="preserve">al services (approximately </w:t>
      </w:r>
      <w:r w:rsidR="00EF0829">
        <w:rPr>
          <w:rFonts w:ascii="Times New Roman" w:hAnsi="Times New Roman" w:cs="Times New Roman"/>
          <w:sz w:val="24"/>
          <w:szCs w:val="24"/>
        </w:rPr>
        <w:t>$</w:t>
      </w:r>
      <w:r w:rsidR="005C242E">
        <w:rPr>
          <w:rFonts w:ascii="Times New Roman" w:hAnsi="Times New Roman" w:cs="Times New Roman"/>
          <w:sz w:val="24"/>
          <w:szCs w:val="24"/>
        </w:rPr>
        <w:t>700).</w:t>
      </w:r>
    </w:p>
    <w:p w:rsidR="00047502" w:rsidRPr="001D4AB4" w:rsidRDefault="00960CDE" w:rsidP="001D4AB4">
      <w:pPr>
        <w:pStyle w:val="Heading1"/>
        <w:spacing w:line="480" w:lineRule="auto"/>
        <w:jc w:val="center"/>
        <w:rPr>
          <w:rFonts w:ascii="Times New Roman" w:hAnsi="Times New Roman" w:cs="Times New Roman"/>
          <w:color w:val="auto"/>
          <w:sz w:val="24"/>
        </w:rPr>
      </w:pPr>
      <w:bookmarkStart w:id="23" w:name="_Toc346718442"/>
      <w:r w:rsidRPr="001D4AB4">
        <w:rPr>
          <w:rFonts w:ascii="Times New Roman" w:hAnsi="Times New Roman" w:cs="Times New Roman"/>
          <w:color w:val="auto"/>
          <w:sz w:val="24"/>
        </w:rPr>
        <w:t>Timeline</w:t>
      </w:r>
      <w:bookmarkEnd w:id="14"/>
      <w:bookmarkEnd w:id="23"/>
    </w:p>
    <w:tbl>
      <w:tblPr>
        <w:tblStyle w:val="TableGrid"/>
        <w:tblW w:w="9072" w:type="dxa"/>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835"/>
        <w:gridCol w:w="4459"/>
        <w:gridCol w:w="2268"/>
      </w:tblGrid>
      <w:tr w:rsidR="008C51A7" w:rsidRPr="00AE28C6" w:rsidTr="00B448CB">
        <w:tc>
          <w:tcPr>
            <w:tcW w:w="510" w:type="dxa"/>
            <w:tcBorders>
              <w:top w:val="single" w:sz="4" w:space="0" w:color="auto"/>
              <w:bottom w:val="single" w:sz="4" w:space="0" w:color="auto"/>
            </w:tcBorders>
          </w:tcPr>
          <w:p w:rsidR="008C51A7" w:rsidRPr="00AE28C6" w:rsidRDefault="008C51A7" w:rsidP="006508F8">
            <w:pPr>
              <w:rPr>
                <w:rFonts w:ascii="Times New Roman" w:hAnsi="Times New Roman" w:cs="Times New Roman"/>
                <w:sz w:val="20"/>
                <w:szCs w:val="20"/>
              </w:rPr>
            </w:pPr>
            <w:bookmarkStart w:id="24" w:name="_Toc327132075"/>
            <w:r w:rsidRPr="00AE28C6">
              <w:rPr>
                <w:rFonts w:ascii="Times New Roman" w:hAnsi="Times New Roman" w:cs="Times New Roman"/>
                <w:sz w:val="20"/>
                <w:szCs w:val="20"/>
              </w:rPr>
              <w:t>No</w:t>
            </w:r>
          </w:p>
        </w:tc>
        <w:tc>
          <w:tcPr>
            <w:tcW w:w="1835" w:type="dxa"/>
            <w:tcBorders>
              <w:top w:val="single" w:sz="4" w:space="0" w:color="auto"/>
              <w:bottom w:val="single" w:sz="4" w:space="0" w:color="auto"/>
            </w:tcBorders>
          </w:tcPr>
          <w:p w:rsidR="008C51A7" w:rsidRPr="00AE28C6" w:rsidRDefault="001224A8" w:rsidP="006508F8">
            <w:pPr>
              <w:rPr>
                <w:rFonts w:ascii="Times New Roman" w:hAnsi="Times New Roman" w:cs="Times New Roman"/>
                <w:sz w:val="20"/>
                <w:szCs w:val="20"/>
              </w:rPr>
            </w:pPr>
            <w:r>
              <w:rPr>
                <w:rFonts w:ascii="Times New Roman" w:hAnsi="Times New Roman" w:cs="Times New Roman"/>
                <w:sz w:val="20"/>
                <w:szCs w:val="20"/>
              </w:rPr>
              <w:t>Stage</w:t>
            </w:r>
          </w:p>
        </w:tc>
        <w:tc>
          <w:tcPr>
            <w:tcW w:w="4459" w:type="dxa"/>
            <w:tcBorders>
              <w:top w:val="single" w:sz="4" w:space="0" w:color="auto"/>
              <w:bottom w:val="single" w:sz="4" w:space="0" w:color="auto"/>
            </w:tcBorders>
          </w:tcPr>
          <w:p w:rsidR="008C51A7" w:rsidRPr="00AE28C6" w:rsidRDefault="008C51A7" w:rsidP="006508F8">
            <w:pPr>
              <w:rPr>
                <w:rFonts w:ascii="Times New Roman" w:hAnsi="Times New Roman" w:cs="Times New Roman"/>
                <w:sz w:val="20"/>
                <w:szCs w:val="20"/>
              </w:rPr>
            </w:pPr>
            <w:r w:rsidRPr="00AE28C6">
              <w:rPr>
                <w:rFonts w:ascii="Times New Roman" w:hAnsi="Times New Roman" w:cs="Times New Roman"/>
                <w:sz w:val="20"/>
                <w:szCs w:val="20"/>
              </w:rPr>
              <w:t>Description</w:t>
            </w:r>
          </w:p>
        </w:tc>
        <w:tc>
          <w:tcPr>
            <w:tcW w:w="2268" w:type="dxa"/>
            <w:tcBorders>
              <w:top w:val="single" w:sz="4" w:space="0" w:color="auto"/>
              <w:bottom w:val="single" w:sz="4" w:space="0" w:color="auto"/>
            </w:tcBorders>
          </w:tcPr>
          <w:p w:rsidR="008C51A7" w:rsidRPr="00AE28C6" w:rsidRDefault="008C51A7" w:rsidP="006508F8">
            <w:pPr>
              <w:rPr>
                <w:rFonts w:ascii="Times New Roman" w:hAnsi="Times New Roman" w:cs="Times New Roman"/>
                <w:sz w:val="20"/>
                <w:szCs w:val="20"/>
              </w:rPr>
            </w:pPr>
            <w:r w:rsidRPr="00AE28C6">
              <w:rPr>
                <w:rFonts w:ascii="Times New Roman" w:hAnsi="Times New Roman" w:cs="Times New Roman"/>
                <w:sz w:val="20"/>
                <w:szCs w:val="20"/>
              </w:rPr>
              <w:t>Date (expected)</w:t>
            </w:r>
          </w:p>
        </w:tc>
      </w:tr>
      <w:tr w:rsidR="001E593F" w:rsidRPr="00AE28C6" w:rsidTr="00AE28C6">
        <w:trPr>
          <w:trHeight w:val="1115"/>
        </w:trPr>
        <w:tc>
          <w:tcPr>
            <w:tcW w:w="510" w:type="dxa"/>
            <w:tcBorders>
              <w:top w:val="single" w:sz="4" w:space="0" w:color="auto"/>
            </w:tcBorders>
          </w:tcPr>
          <w:p w:rsidR="001E593F" w:rsidRPr="00AE28C6" w:rsidRDefault="001E593F" w:rsidP="001E593F">
            <w:pPr>
              <w:rPr>
                <w:rFonts w:ascii="Times New Roman" w:hAnsi="Times New Roman" w:cs="Times New Roman"/>
                <w:sz w:val="20"/>
                <w:szCs w:val="20"/>
              </w:rPr>
            </w:pPr>
            <w:r w:rsidRPr="00AE28C6">
              <w:rPr>
                <w:rFonts w:ascii="Times New Roman" w:hAnsi="Times New Roman" w:cs="Times New Roman"/>
                <w:sz w:val="20"/>
                <w:szCs w:val="20"/>
              </w:rPr>
              <w:t>1</w:t>
            </w:r>
          </w:p>
        </w:tc>
        <w:tc>
          <w:tcPr>
            <w:tcW w:w="1835" w:type="dxa"/>
            <w:tcBorders>
              <w:top w:val="single" w:sz="4" w:space="0" w:color="auto"/>
            </w:tcBorders>
          </w:tcPr>
          <w:p w:rsidR="001E593F" w:rsidRPr="00AE28C6" w:rsidRDefault="001E593F" w:rsidP="001E593F">
            <w:pPr>
              <w:rPr>
                <w:rFonts w:ascii="Times New Roman" w:hAnsi="Times New Roman" w:cs="Times New Roman"/>
                <w:sz w:val="20"/>
                <w:szCs w:val="20"/>
              </w:rPr>
            </w:pPr>
            <w:r w:rsidRPr="00AE28C6">
              <w:rPr>
                <w:rFonts w:ascii="Times New Roman" w:hAnsi="Times New Roman" w:cs="Times New Roman"/>
                <w:sz w:val="20"/>
                <w:szCs w:val="20"/>
              </w:rPr>
              <w:t xml:space="preserve">Proposal </w:t>
            </w:r>
            <w:r w:rsidR="00EF0829">
              <w:rPr>
                <w:rFonts w:ascii="Times New Roman" w:hAnsi="Times New Roman" w:cs="Times New Roman"/>
                <w:sz w:val="20"/>
                <w:szCs w:val="20"/>
              </w:rPr>
              <w:t>d</w:t>
            </w:r>
            <w:r w:rsidR="00EF0829" w:rsidRPr="00AE28C6">
              <w:rPr>
                <w:rFonts w:ascii="Times New Roman" w:hAnsi="Times New Roman" w:cs="Times New Roman"/>
                <w:sz w:val="20"/>
                <w:szCs w:val="20"/>
              </w:rPr>
              <w:t xml:space="preserve">efense </w:t>
            </w:r>
          </w:p>
          <w:p w:rsidR="001E593F" w:rsidRPr="00AE28C6" w:rsidRDefault="001E593F" w:rsidP="001E593F">
            <w:pPr>
              <w:rPr>
                <w:rFonts w:ascii="Times New Roman" w:hAnsi="Times New Roman" w:cs="Times New Roman"/>
                <w:sz w:val="20"/>
                <w:szCs w:val="20"/>
              </w:rPr>
            </w:pPr>
          </w:p>
        </w:tc>
        <w:tc>
          <w:tcPr>
            <w:tcW w:w="4459" w:type="dxa"/>
            <w:tcBorders>
              <w:top w:val="single" w:sz="4" w:space="0" w:color="auto"/>
            </w:tcBorders>
          </w:tcPr>
          <w:p w:rsidR="001E593F" w:rsidRPr="00AE28C6" w:rsidRDefault="001E593F" w:rsidP="001E593F">
            <w:pPr>
              <w:rPr>
                <w:rFonts w:ascii="Times New Roman" w:hAnsi="Times New Roman" w:cs="Times New Roman"/>
                <w:sz w:val="20"/>
                <w:szCs w:val="20"/>
              </w:rPr>
            </w:pPr>
            <w:r w:rsidRPr="00AE28C6">
              <w:rPr>
                <w:rFonts w:ascii="Times New Roman" w:hAnsi="Times New Roman" w:cs="Times New Roman"/>
                <w:sz w:val="20"/>
                <w:szCs w:val="20"/>
              </w:rPr>
              <w:t xml:space="preserve">Literature review, problem statement, and statistical method description part of the thesis proposal is ready. Currently, formatting of the final version is </w:t>
            </w:r>
            <w:r w:rsidR="00EF0829">
              <w:rPr>
                <w:rFonts w:ascii="Times New Roman" w:hAnsi="Times New Roman" w:cs="Times New Roman"/>
                <w:sz w:val="20"/>
                <w:szCs w:val="20"/>
              </w:rPr>
              <w:t>in progress</w:t>
            </w:r>
            <w:r w:rsidRPr="00AE28C6">
              <w:rPr>
                <w:rFonts w:ascii="Times New Roman" w:hAnsi="Times New Roman" w:cs="Times New Roman"/>
                <w:sz w:val="20"/>
                <w:szCs w:val="20"/>
              </w:rPr>
              <w:t>.</w:t>
            </w:r>
          </w:p>
          <w:p w:rsidR="001E593F" w:rsidRPr="00AE28C6" w:rsidRDefault="001E593F" w:rsidP="001E593F">
            <w:pPr>
              <w:rPr>
                <w:rFonts w:ascii="Times New Roman" w:hAnsi="Times New Roman" w:cs="Times New Roman"/>
                <w:sz w:val="20"/>
                <w:szCs w:val="20"/>
              </w:rPr>
            </w:pPr>
          </w:p>
        </w:tc>
        <w:tc>
          <w:tcPr>
            <w:tcW w:w="2268" w:type="dxa"/>
            <w:tcBorders>
              <w:top w:val="single" w:sz="4" w:space="0" w:color="auto"/>
            </w:tcBorders>
          </w:tcPr>
          <w:p w:rsidR="001E593F" w:rsidRPr="00AE28C6" w:rsidRDefault="006B773E" w:rsidP="001E593F">
            <w:pPr>
              <w:rPr>
                <w:rFonts w:ascii="Times New Roman" w:hAnsi="Times New Roman" w:cs="Times New Roman"/>
                <w:sz w:val="20"/>
                <w:szCs w:val="20"/>
              </w:rPr>
            </w:pPr>
            <w:r>
              <w:rPr>
                <w:rFonts w:ascii="Times New Roman" w:hAnsi="Times New Roman" w:cs="Times New Roman"/>
                <w:sz w:val="20"/>
                <w:szCs w:val="20"/>
              </w:rPr>
              <w:t>February</w:t>
            </w:r>
            <w:r w:rsidR="001E593F" w:rsidRPr="00AE28C6">
              <w:rPr>
                <w:rFonts w:ascii="Times New Roman" w:hAnsi="Times New Roman" w:cs="Times New Roman"/>
                <w:sz w:val="20"/>
                <w:szCs w:val="20"/>
              </w:rPr>
              <w:t xml:space="preserve"> </w:t>
            </w:r>
            <w:r>
              <w:rPr>
                <w:rFonts w:ascii="Times New Roman" w:hAnsi="Times New Roman" w:cs="Times New Roman"/>
                <w:sz w:val="20"/>
                <w:szCs w:val="20"/>
              </w:rPr>
              <w:t>1</w:t>
            </w:r>
            <w:r w:rsidR="001E593F" w:rsidRPr="00AE28C6">
              <w:rPr>
                <w:rFonts w:ascii="Times New Roman" w:hAnsi="Times New Roman" w:cs="Times New Roman"/>
                <w:sz w:val="20"/>
                <w:szCs w:val="20"/>
              </w:rPr>
              <w:t xml:space="preserve"> </w:t>
            </w:r>
          </w:p>
        </w:tc>
      </w:tr>
      <w:tr w:rsidR="001E593F" w:rsidRPr="00AE28C6" w:rsidTr="00B448CB">
        <w:tc>
          <w:tcPr>
            <w:tcW w:w="510" w:type="dxa"/>
          </w:tcPr>
          <w:p w:rsidR="001E593F" w:rsidRPr="00AE28C6" w:rsidRDefault="001E593F" w:rsidP="001E593F">
            <w:pPr>
              <w:rPr>
                <w:rFonts w:ascii="Times New Roman" w:hAnsi="Times New Roman" w:cs="Times New Roman"/>
                <w:sz w:val="20"/>
                <w:szCs w:val="20"/>
              </w:rPr>
            </w:pPr>
            <w:r w:rsidRPr="00AE28C6">
              <w:rPr>
                <w:rFonts w:ascii="Times New Roman" w:hAnsi="Times New Roman" w:cs="Times New Roman"/>
                <w:sz w:val="20"/>
                <w:szCs w:val="20"/>
              </w:rPr>
              <w:t>2</w:t>
            </w:r>
          </w:p>
        </w:tc>
        <w:tc>
          <w:tcPr>
            <w:tcW w:w="1835" w:type="dxa"/>
          </w:tcPr>
          <w:p w:rsidR="001E593F" w:rsidRPr="00AE28C6" w:rsidRDefault="001E593F" w:rsidP="001E593F">
            <w:pPr>
              <w:rPr>
                <w:rFonts w:ascii="Times New Roman" w:hAnsi="Times New Roman" w:cs="Times New Roman"/>
                <w:sz w:val="20"/>
                <w:szCs w:val="20"/>
              </w:rPr>
            </w:pPr>
            <w:r w:rsidRPr="00AE28C6">
              <w:rPr>
                <w:rFonts w:ascii="Times New Roman" w:hAnsi="Times New Roman" w:cs="Times New Roman"/>
                <w:sz w:val="20"/>
                <w:szCs w:val="20"/>
              </w:rPr>
              <w:t xml:space="preserve">Finalizing the </w:t>
            </w:r>
            <w:r w:rsidR="00EF0829">
              <w:rPr>
                <w:rFonts w:ascii="Times New Roman" w:hAnsi="Times New Roman" w:cs="Times New Roman"/>
                <w:sz w:val="20"/>
                <w:szCs w:val="20"/>
              </w:rPr>
              <w:t>s</w:t>
            </w:r>
            <w:r w:rsidR="00EF0829" w:rsidRPr="00AE28C6">
              <w:rPr>
                <w:rFonts w:ascii="Times New Roman" w:hAnsi="Times New Roman" w:cs="Times New Roman"/>
                <w:sz w:val="20"/>
                <w:szCs w:val="20"/>
              </w:rPr>
              <w:t xml:space="preserve">tatistical </w:t>
            </w:r>
            <w:r w:rsidR="00EF0829">
              <w:rPr>
                <w:rFonts w:ascii="Times New Roman" w:hAnsi="Times New Roman" w:cs="Times New Roman"/>
                <w:sz w:val="20"/>
                <w:szCs w:val="20"/>
              </w:rPr>
              <w:t>a</w:t>
            </w:r>
            <w:r w:rsidR="00EF0829" w:rsidRPr="00AE28C6">
              <w:rPr>
                <w:rFonts w:ascii="Times New Roman" w:hAnsi="Times New Roman" w:cs="Times New Roman"/>
                <w:sz w:val="20"/>
                <w:szCs w:val="20"/>
              </w:rPr>
              <w:t>nalysis</w:t>
            </w:r>
          </w:p>
          <w:p w:rsidR="001E593F" w:rsidRPr="00AE28C6" w:rsidRDefault="001E593F" w:rsidP="001E593F">
            <w:pPr>
              <w:rPr>
                <w:rFonts w:ascii="Times New Roman" w:hAnsi="Times New Roman" w:cs="Times New Roman"/>
                <w:sz w:val="20"/>
                <w:szCs w:val="20"/>
              </w:rPr>
            </w:pPr>
          </w:p>
        </w:tc>
        <w:tc>
          <w:tcPr>
            <w:tcW w:w="4459" w:type="dxa"/>
          </w:tcPr>
          <w:p w:rsidR="001E593F" w:rsidRPr="00AE28C6" w:rsidRDefault="001E593F" w:rsidP="001E593F">
            <w:pPr>
              <w:rPr>
                <w:rFonts w:ascii="Times New Roman" w:hAnsi="Times New Roman" w:cs="Times New Roman"/>
                <w:sz w:val="20"/>
                <w:szCs w:val="20"/>
              </w:rPr>
            </w:pPr>
            <w:r w:rsidRPr="00AE28C6">
              <w:rPr>
                <w:rFonts w:ascii="Times New Roman" w:hAnsi="Times New Roman" w:cs="Times New Roman"/>
                <w:sz w:val="20"/>
                <w:szCs w:val="20"/>
              </w:rPr>
              <w:t>Data</w:t>
            </w:r>
            <w:r w:rsidR="00EF0829">
              <w:rPr>
                <w:rFonts w:ascii="Times New Roman" w:hAnsi="Times New Roman" w:cs="Times New Roman"/>
                <w:sz w:val="20"/>
                <w:szCs w:val="20"/>
              </w:rPr>
              <w:t xml:space="preserve"> </w:t>
            </w:r>
            <w:r w:rsidRPr="00AE28C6">
              <w:rPr>
                <w:rFonts w:ascii="Times New Roman" w:hAnsi="Times New Roman" w:cs="Times New Roman"/>
                <w:sz w:val="20"/>
                <w:szCs w:val="20"/>
              </w:rPr>
              <w:t xml:space="preserve">set will cover 16 Malaysian </w:t>
            </w:r>
            <w:r w:rsidR="00852351">
              <w:rPr>
                <w:rFonts w:ascii="Times New Roman" w:hAnsi="Times New Roman" w:cs="Times New Roman"/>
                <w:sz w:val="20"/>
                <w:szCs w:val="20"/>
              </w:rPr>
              <w:t>Islamic banks</w:t>
            </w:r>
            <w:r w:rsidRPr="00AE28C6">
              <w:rPr>
                <w:rFonts w:ascii="Times New Roman" w:hAnsi="Times New Roman" w:cs="Times New Roman"/>
                <w:sz w:val="20"/>
                <w:szCs w:val="20"/>
              </w:rPr>
              <w:t xml:space="preserve"> for the period from 2005 to 2011. This new data</w:t>
            </w:r>
            <w:r w:rsidR="00EF0829">
              <w:rPr>
                <w:rFonts w:ascii="Times New Roman" w:hAnsi="Times New Roman" w:cs="Times New Roman"/>
                <w:sz w:val="20"/>
                <w:szCs w:val="20"/>
              </w:rPr>
              <w:t xml:space="preserve"> </w:t>
            </w:r>
            <w:r w:rsidRPr="00AE28C6">
              <w:rPr>
                <w:rFonts w:ascii="Times New Roman" w:hAnsi="Times New Roman" w:cs="Times New Roman"/>
                <w:sz w:val="20"/>
                <w:szCs w:val="20"/>
              </w:rPr>
              <w:t>set is larger than the initial proposed dataset (i.e.</w:t>
            </w:r>
            <w:r w:rsidR="00EF0829">
              <w:rPr>
                <w:rFonts w:ascii="Times New Roman" w:hAnsi="Times New Roman" w:cs="Times New Roman"/>
                <w:sz w:val="20"/>
                <w:szCs w:val="20"/>
              </w:rPr>
              <w:t>,</w:t>
            </w:r>
            <w:r w:rsidRPr="00AE28C6">
              <w:rPr>
                <w:rFonts w:ascii="Times New Roman" w:hAnsi="Times New Roman" w:cs="Times New Roman"/>
                <w:sz w:val="20"/>
                <w:szCs w:val="20"/>
              </w:rPr>
              <w:t xml:space="preserve"> </w:t>
            </w:r>
            <w:r w:rsidR="00EF0829">
              <w:rPr>
                <w:rFonts w:ascii="Times New Roman" w:hAnsi="Times New Roman" w:cs="Times New Roman"/>
                <w:sz w:val="20"/>
                <w:szCs w:val="20"/>
              </w:rPr>
              <w:t>five</w:t>
            </w:r>
            <w:r w:rsidR="00EF0829" w:rsidRPr="00AE28C6">
              <w:rPr>
                <w:rFonts w:ascii="Times New Roman" w:hAnsi="Times New Roman" w:cs="Times New Roman"/>
                <w:sz w:val="20"/>
                <w:szCs w:val="20"/>
              </w:rPr>
              <w:t xml:space="preserve"> </w:t>
            </w:r>
            <w:r w:rsidRPr="00AE28C6">
              <w:rPr>
                <w:rFonts w:ascii="Times New Roman" w:hAnsi="Times New Roman" w:cs="Times New Roman"/>
                <w:sz w:val="20"/>
                <w:szCs w:val="20"/>
              </w:rPr>
              <w:t xml:space="preserve">Malaysian </w:t>
            </w:r>
            <w:r w:rsidR="00EF0829">
              <w:rPr>
                <w:rFonts w:ascii="Times New Roman" w:hAnsi="Times New Roman" w:cs="Times New Roman"/>
                <w:sz w:val="20"/>
                <w:szCs w:val="20"/>
              </w:rPr>
              <w:t>b</w:t>
            </w:r>
            <w:r w:rsidRPr="00AE28C6">
              <w:rPr>
                <w:rFonts w:ascii="Times New Roman" w:hAnsi="Times New Roman" w:cs="Times New Roman"/>
                <w:sz w:val="20"/>
                <w:szCs w:val="20"/>
              </w:rPr>
              <w:t xml:space="preserve">anks for the period from 2005 to 2010).  </w:t>
            </w:r>
          </w:p>
          <w:p w:rsidR="001E593F" w:rsidRPr="00AE28C6" w:rsidRDefault="001E593F" w:rsidP="001E593F">
            <w:pPr>
              <w:rPr>
                <w:rFonts w:ascii="Times New Roman" w:hAnsi="Times New Roman" w:cs="Times New Roman"/>
                <w:sz w:val="20"/>
                <w:szCs w:val="20"/>
              </w:rPr>
            </w:pPr>
          </w:p>
        </w:tc>
        <w:tc>
          <w:tcPr>
            <w:tcW w:w="2268" w:type="dxa"/>
          </w:tcPr>
          <w:p w:rsidR="001E593F" w:rsidRPr="00AE28C6" w:rsidRDefault="001E593F" w:rsidP="001E593F">
            <w:pPr>
              <w:rPr>
                <w:rFonts w:ascii="Times New Roman" w:hAnsi="Times New Roman" w:cs="Times New Roman"/>
                <w:sz w:val="20"/>
                <w:szCs w:val="20"/>
              </w:rPr>
            </w:pPr>
            <w:r w:rsidRPr="00AE28C6">
              <w:rPr>
                <w:rFonts w:ascii="Times New Roman" w:hAnsi="Times New Roman" w:cs="Times New Roman"/>
                <w:sz w:val="20"/>
                <w:szCs w:val="20"/>
              </w:rPr>
              <w:t xml:space="preserve">February </w:t>
            </w:r>
            <w:r w:rsidR="002A2224" w:rsidRPr="00AE28C6">
              <w:rPr>
                <w:rFonts w:ascii="Times New Roman" w:hAnsi="Times New Roman" w:cs="Times New Roman"/>
                <w:sz w:val="20"/>
                <w:szCs w:val="20"/>
              </w:rPr>
              <w:t>15</w:t>
            </w:r>
            <w:r w:rsidRPr="00AE28C6">
              <w:rPr>
                <w:rFonts w:ascii="Times New Roman" w:hAnsi="Times New Roman" w:cs="Times New Roman"/>
                <w:sz w:val="20"/>
                <w:szCs w:val="20"/>
              </w:rPr>
              <w:t xml:space="preserve"> </w:t>
            </w:r>
          </w:p>
        </w:tc>
      </w:tr>
      <w:tr w:rsidR="001E593F" w:rsidRPr="00AE28C6" w:rsidTr="00B448CB">
        <w:tc>
          <w:tcPr>
            <w:tcW w:w="510" w:type="dxa"/>
          </w:tcPr>
          <w:p w:rsidR="001E593F" w:rsidRPr="00AE28C6" w:rsidRDefault="001E593F" w:rsidP="001E593F">
            <w:pPr>
              <w:rPr>
                <w:rFonts w:ascii="Times New Roman" w:hAnsi="Times New Roman" w:cs="Times New Roman"/>
                <w:sz w:val="20"/>
                <w:szCs w:val="20"/>
              </w:rPr>
            </w:pPr>
            <w:r w:rsidRPr="00AE28C6">
              <w:rPr>
                <w:rFonts w:ascii="Times New Roman" w:hAnsi="Times New Roman" w:cs="Times New Roman"/>
                <w:sz w:val="20"/>
                <w:szCs w:val="20"/>
              </w:rPr>
              <w:t>3</w:t>
            </w:r>
          </w:p>
        </w:tc>
        <w:tc>
          <w:tcPr>
            <w:tcW w:w="1835" w:type="dxa"/>
          </w:tcPr>
          <w:p w:rsidR="001E593F" w:rsidRPr="00AE28C6" w:rsidRDefault="001E593F" w:rsidP="001E593F">
            <w:pPr>
              <w:rPr>
                <w:rFonts w:ascii="Times New Roman" w:hAnsi="Times New Roman" w:cs="Times New Roman"/>
                <w:sz w:val="20"/>
                <w:szCs w:val="20"/>
              </w:rPr>
            </w:pPr>
            <w:r w:rsidRPr="00AE28C6">
              <w:rPr>
                <w:rFonts w:ascii="Times New Roman" w:hAnsi="Times New Roman" w:cs="Times New Roman"/>
                <w:sz w:val="20"/>
                <w:szCs w:val="20"/>
              </w:rPr>
              <w:t xml:space="preserve">Finalizing the </w:t>
            </w:r>
            <w:r w:rsidR="00EF0829">
              <w:rPr>
                <w:rFonts w:ascii="Times New Roman" w:hAnsi="Times New Roman" w:cs="Times New Roman"/>
                <w:sz w:val="20"/>
                <w:szCs w:val="20"/>
              </w:rPr>
              <w:t>f</w:t>
            </w:r>
            <w:r w:rsidR="00EF0829" w:rsidRPr="00AE28C6">
              <w:rPr>
                <w:rFonts w:ascii="Times New Roman" w:hAnsi="Times New Roman" w:cs="Times New Roman"/>
                <w:sz w:val="20"/>
                <w:szCs w:val="20"/>
              </w:rPr>
              <w:t xml:space="preserve">irst </w:t>
            </w:r>
            <w:r w:rsidR="00EF0829">
              <w:rPr>
                <w:rFonts w:ascii="Times New Roman" w:hAnsi="Times New Roman" w:cs="Times New Roman"/>
                <w:sz w:val="20"/>
                <w:szCs w:val="20"/>
              </w:rPr>
              <w:t>d</w:t>
            </w:r>
            <w:r w:rsidR="00EF0829" w:rsidRPr="00AE28C6">
              <w:rPr>
                <w:rFonts w:ascii="Times New Roman" w:hAnsi="Times New Roman" w:cs="Times New Roman"/>
                <w:sz w:val="20"/>
                <w:szCs w:val="20"/>
              </w:rPr>
              <w:t xml:space="preserve">raft </w:t>
            </w:r>
            <w:r w:rsidRPr="00AE28C6">
              <w:rPr>
                <w:rFonts w:ascii="Times New Roman" w:hAnsi="Times New Roman" w:cs="Times New Roman"/>
                <w:sz w:val="20"/>
                <w:szCs w:val="20"/>
              </w:rPr>
              <w:t xml:space="preserve">of the </w:t>
            </w:r>
            <w:r w:rsidR="00EF0829">
              <w:rPr>
                <w:rFonts w:ascii="Times New Roman" w:hAnsi="Times New Roman" w:cs="Times New Roman"/>
                <w:sz w:val="20"/>
                <w:szCs w:val="20"/>
              </w:rPr>
              <w:t>t</w:t>
            </w:r>
            <w:r w:rsidR="00EF0829" w:rsidRPr="00AE28C6">
              <w:rPr>
                <w:rFonts w:ascii="Times New Roman" w:hAnsi="Times New Roman" w:cs="Times New Roman"/>
                <w:sz w:val="20"/>
                <w:szCs w:val="20"/>
              </w:rPr>
              <w:t>hesis</w:t>
            </w:r>
          </w:p>
          <w:p w:rsidR="001E593F" w:rsidRPr="00AE28C6" w:rsidRDefault="001E593F" w:rsidP="001E593F">
            <w:pPr>
              <w:rPr>
                <w:rFonts w:ascii="Times New Roman" w:hAnsi="Times New Roman" w:cs="Times New Roman"/>
                <w:sz w:val="20"/>
                <w:szCs w:val="20"/>
              </w:rPr>
            </w:pPr>
          </w:p>
        </w:tc>
        <w:tc>
          <w:tcPr>
            <w:tcW w:w="4459" w:type="dxa"/>
          </w:tcPr>
          <w:p w:rsidR="001E593F" w:rsidRPr="00AE28C6" w:rsidRDefault="001E593F" w:rsidP="001E593F">
            <w:pPr>
              <w:rPr>
                <w:rFonts w:ascii="Times New Roman" w:hAnsi="Times New Roman" w:cs="Times New Roman"/>
                <w:sz w:val="20"/>
                <w:szCs w:val="20"/>
              </w:rPr>
            </w:pPr>
            <w:r w:rsidRPr="00AE28C6">
              <w:rPr>
                <w:rFonts w:ascii="Times New Roman" w:hAnsi="Times New Roman" w:cs="Times New Roman"/>
                <w:sz w:val="20"/>
                <w:szCs w:val="20"/>
              </w:rPr>
              <w:t>Information needed for preparing the first draft is also ready – articles to be included in the thesis have been selected and reviewed. Discussion should be held with supervisors regarding additions.</w:t>
            </w:r>
          </w:p>
          <w:p w:rsidR="001E593F" w:rsidRPr="00AE28C6" w:rsidRDefault="001E593F" w:rsidP="001E593F">
            <w:pPr>
              <w:rPr>
                <w:rFonts w:ascii="Times New Roman" w:hAnsi="Times New Roman" w:cs="Times New Roman"/>
                <w:sz w:val="20"/>
                <w:szCs w:val="20"/>
              </w:rPr>
            </w:pPr>
            <w:r w:rsidRPr="00AE28C6">
              <w:rPr>
                <w:rFonts w:ascii="Times New Roman" w:hAnsi="Times New Roman" w:cs="Times New Roman"/>
                <w:sz w:val="20"/>
                <w:szCs w:val="20"/>
              </w:rPr>
              <w:t xml:space="preserve"> </w:t>
            </w:r>
          </w:p>
        </w:tc>
        <w:tc>
          <w:tcPr>
            <w:tcW w:w="2268" w:type="dxa"/>
          </w:tcPr>
          <w:p w:rsidR="001E593F" w:rsidRPr="00AE28C6" w:rsidRDefault="002A2224" w:rsidP="001E593F">
            <w:pPr>
              <w:rPr>
                <w:rFonts w:ascii="Times New Roman" w:hAnsi="Times New Roman" w:cs="Times New Roman"/>
                <w:sz w:val="20"/>
                <w:szCs w:val="20"/>
              </w:rPr>
            </w:pPr>
            <w:r w:rsidRPr="00AE28C6">
              <w:rPr>
                <w:rFonts w:ascii="Times New Roman" w:hAnsi="Times New Roman" w:cs="Times New Roman"/>
                <w:sz w:val="20"/>
                <w:szCs w:val="20"/>
              </w:rPr>
              <w:t>March</w:t>
            </w:r>
            <w:r w:rsidR="001E593F" w:rsidRPr="00AE28C6">
              <w:rPr>
                <w:rFonts w:ascii="Times New Roman" w:hAnsi="Times New Roman" w:cs="Times New Roman"/>
                <w:sz w:val="20"/>
                <w:szCs w:val="20"/>
              </w:rPr>
              <w:t xml:space="preserve"> </w:t>
            </w:r>
            <w:r w:rsidRPr="00AE28C6">
              <w:rPr>
                <w:rFonts w:ascii="Times New Roman" w:hAnsi="Times New Roman" w:cs="Times New Roman"/>
                <w:sz w:val="20"/>
                <w:szCs w:val="20"/>
              </w:rPr>
              <w:t>10</w:t>
            </w:r>
            <w:r w:rsidR="001E593F" w:rsidRPr="00AE28C6">
              <w:rPr>
                <w:rFonts w:ascii="Times New Roman" w:hAnsi="Times New Roman" w:cs="Times New Roman"/>
                <w:sz w:val="20"/>
                <w:szCs w:val="20"/>
              </w:rPr>
              <w:t xml:space="preserve">  </w:t>
            </w:r>
          </w:p>
        </w:tc>
      </w:tr>
      <w:tr w:rsidR="001E593F" w:rsidRPr="00AE28C6" w:rsidTr="00B448CB">
        <w:tc>
          <w:tcPr>
            <w:tcW w:w="510" w:type="dxa"/>
          </w:tcPr>
          <w:p w:rsidR="001E593F" w:rsidRPr="00AE28C6" w:rsidRDefault="001E593F" w:rsidP="001E593F">
            <w:pPr>
              <w:rPr>
                <w:rFonts w:ascii="Times New Roman" w:hAnsi="Times New Roman" w:cs="Times New Roman"/>
                <w:sz w:val="20"/>
                <w:szCs w:val="20"/>
              </w:rPr>
            </w:pPr>
            <w:r w:rsidRPr="00AE28C6">
              <w:rPr>
                <w:rFonts w:ascii="Times New Roman" w:hAnsi="Times New Roman" w:cs="Times New Roman"/>
                <w:sz w:val="20"/>
                <w:szCs w:val="20"/>
              </w:rPr>
              <w:t>4</w:t>
            </w:r>
          </w:p>
        </w:tc>
        <w:tc>
          <w:tcPr>
            <w:tcW w:w="1835" w:type="dxa"/>
          </w:tcPr>
          <w:p w:rsidR="001E593F" w:rsidRPr="00AE28C6" w:rsidRDefault="001E593F" w:rsidP="00EF0829">
            <w:pPr>
              <w:rPr>
                <w:rFonts w:ascii="Times New Roman" w:hAnsi="Times New Roman" w:cs="Times New Roman"/>
                <w:sz w:val="20"/>
                <w:szCs w:val="20"/>
              </w:rPr>
            </w:pPr>
            <w:r w:rsidRPr="00AE28C6">
              <w:rPr>
                <w:rFonts w:ascii="Times New Roman" w:hAnsi="Times New Roman" w:cs="Times New Roman"/>
                <w:sz w:val="20"/>
                <w:szCs w:val="20"/>
              </w:rPr>
              <w:t xml:space="preserve">Submission of the final </w:t>
            </w:r>
            <w:r w:rsidR="00EF0829">
              <w:rPr>
                <w:rFonts w:ascii="Times New Roman" w:hAnsi="Times New Roman" w:cs="Times New Roman"/>
                <w:sz w:val="20"/>
                <w:szCs w:val="20"/>
              </w:rPr>
              <w:t>t</w:t>
            </w:r>
            <w:r w:rsidR="00EF0829" w:rsidRPr="00AE28C6">
              <w:rPr>
                <w:rFonts w:ascii="Times New Roman" w:hAnsi="Times New Roman" w:cs="Times New Roman"/>
                <w:sz w:val="20"/>
                <w:szCs w:val="20"/>
              </w:rPr>
              <w:t xml:space="preserve">hesis </w:t>
            </w:r>
            <w:r w:rsidRPr="00AE28C6">
              <w:rPr>
                <w:rFonts w:ascii="Times New Roman" w:hAnsi="Times New Roman" w:cs="Times New Roman"/>
                <w:sz w:val="20"/>
                <w:szCs w:val="20"/>
              </w:rPr>
              <w:t xml:space="preserve">and </w:t>
            </w:r>
            <w:r w:rsidR="00EF0829">
              <w:rPr>
                <w:rFonts w:ascii="Times New Roman" w:hAnsi="Times New Roman" w:cs="Times New Roman"/>
                <w:sz w:val="20"/>
                <w:szCs w:val="20"/>
              </w:rPr>
              <w:t>d</w:t>
            </w:r>
            <w:r w:rsidR="00EF0829" w:rsidRPr="00AE28C6">
              <w:rPr>
                <w:rFonts w:ascii="Times New Roman" w:hAnsi="Times New Roman" w:cs="Times New Roman"/>
                <w:sz w:val="20"/>
                <w:szCs w:val="20"/>
              </w:rPr>
              <w:t>efense</w:t>
            </w:r>
          </w:p>
        </w:tc>
        <w:tc>
          <w:tcPr>
            <w:tcW w:w="4459" w:type="dxa"/>
          </w:tcPr>
          <w:p w:rsidR="001E593F" w:rsidRPr="00AE28C6" w:rsidRDefault="001E593F" w:rsidP="00EF0829">
            <w:pPr>
              <w:rPr>
                <w:rFonts w:ascii="Times New Roman" w:hAnsi="Times New Roman" w:cs="Times New Roman"/>
                <w:sz w:val="20"/>
                <w:szCs w:val="20"/>
              </w:rPr>
            </w:pPr>
            <w:r w:rsidRPr="00AE28C6">
              <w:rPr>
                <w:rFonts w:ascii="Times New Roman" w:hAnsi="Times New Roman" w:cs="Times New Roman"/>
                <w:sz w:val="20"/>
                <w:szCs w:val="20"/>
              </w:rPr>
              <w:t xml:space="preserve">After completion of the first draft of the thesis, and after receiving approval, it </w:t>
            </w:r>
            <w:r w:rsidR="00C03865" w:rsidRPr="00AE28C6">
              <w:rPr>
                <w:rFonts w:ascii="Times New Roman" w:hAnsi="Times New Roman" w:cs="Times New Roman"/>
                <w:sz w:val="20"/>
                <w:szCs w:val="20"/>
              </w:rPr>
              <w:t>will</w:t>
            </w:r>
            <w:r w:rsidRPr="00AE28C6">
              <w:rPr>
                <w:rFonts w:ascii="Times New Roman" w:hAnsi="Times New Roman" w:cs="Times New Roman"/>
                <w:sz w:val="20"/>
                <w:szCs w:val="20"/>
              </w:rPr>
              <w:t xml:space="preserve"> be sent to the editor.</w:t>
            </w:r>
          </w:p>
        </w:tc>
        <w:tc>
          <w:tcPr>
            <w:tcW w:w="2268" w:type="dxa"/>
          </w:tcPr>
          <w:p w:rsidR="001E593F" w:rsidRPr="00AE28C6" w:rsidRDefault="001E593F" w:rsidP="001E593F">
            <w:pPr>
              <w:rPr>
                <w:rFonts w:ascii="Times New Roman" w:hAnsi="Times New Roman" w:cs="Times New Roman"/>
                <w:sz w:val="20"/>
                <w:szCs w:val="20"/>
              </w:rPr>
            </w:pPr>
            <w:r w:rsidRPr="00AE28C6">
              <w:rPr>
                <w:rFonts w:ascii="Times New Roman" w:hAnsi="Times New Roman" w:cs="Times New Roman"/>
                <w:sz w:val="20"/>
                <w:szCs w:val="20"/>
              </w:rPr>
              <w:t xml:space="preserve">March </w:t>
            </w:r>
            <w:r w:rsidR="002A2224" w:rsidRPr="00AE28C6">
              <w:rPr>
                <w:rFonts w:ascii="Times New Roman" w:hAnsi="Times New Roman" w:cs="Times New Roman"/>
                <w:sz w:val="20"/>
                <w:szCs w:val="20"/>
              </w:rPr>
              <w:t>25</w:t>
            </w:r>
            <w:r w:rsidRPr="00AE28C6">
              <w:rPr>
                <w:rFonts w:ascii="Times New Roman" w:hAnsi="Times New Roman" w:cs="Times New Roman"/>
                <w:sz w:val="20"/>
                <w:szCs w:val="20"/>
              </w:rPr>
              <w:t xml:space="preserve"> </w:t>
            </w:r>
          </w:p>
        </w:tc>
      </w:tr>
    </w:tbl>
    <w:p w:rsidR="00377F79" w:rsidRPr="004B502E" w:rsidRDefault="00377F79" w:rsidP="00693654">
      <w:pPr>
        <w:rPr>
          <w:rFonts w:ascii="Times New Roman" w:hAnsi="Times New Roman" w:cs="Times New Roman"/>
          <w:b/>
        </w:rPr>
      </w:pPr>
    </w:p>
    <w:p w:rsidR="00377F79" w:rsidRPr="004B502E" w:rsidRDefault="00377F79" w:rsidP="0054620A">
      <w:pPr>
        <w:jc w:val="center"/>
        <w:rPr>
          <w:rFonts w:ascii="Times New Roman" w:hAnsi="Times New Roman" w:cs="Times New Roman"/>
          <w:b/>
        </w:rPr>
      </w:pPr>
    </w:p>
    <w:p w:rsidR="00FB5320" w:rsidRPr="004B502E" w:rsidRDefault="00FB5320" w:rsidP="0054620A">
      <w:pPr>
        <w:jc w:val="center"/>
        <w:rPr>
          <w:rFonts w:ascii="Times New Roman" w:hAnsi="Times New Roman" w:cs="Times New Roman"/>
          <w:b/>
        </w:rPr>
      </w:pPr>
    </w:p>
    <w:p w:rsidR="00FB5320" w:rsidRPr="004B502E" w:rsidRDefault="00FB5320" w:rsidP="0054620A">
      <w:pPr>
        <w:jc w:val="center"/>
        <w:rPr>
          <w:rFonts w:ascii="Times New Roman" w:hAnsi="Times New Roman" w:cs="Times New Roman"/>
          <w:b/>
        </w:rPr>
      </w:pPr>
    </w:p>
    <w:p w:rsidR="00693654" w:rsidRPr="004B502E" w:rsidRDefault="00693654" w:rsidP="008C51A7">
      <w:pPr>
        <w:rPr>
          <w:rFonts w:ascii="Times New Roman" w:hAnsi="Times New Roman" w:cs="Times New Roman"/>
          <w:b/>
        </w:rPr>
      </w:pPr>
    </w:p>
    <w:bookmarkEnd w:id="24"/>
    <w:p w:rsidR="00BD5159" w:rsidRPr="004B502E" w:rsidRDefault="00BD5159" w:rsidP="001E593F">
      <w:pPr>
        <w:rPr>
          <w:rFonts w:ascii="Times New Roman" w:hAnsi="Times New Roman" w:cs="Times New Roman"/>
          <w:b/>
        </w:rPr>
      </w:pPr>
    </w:p>
    <w:p w:rsidR="001E593F" w:rsidRPr="004B502E" w:rsidRDefault="001E593F" w:rsidP="001E593F">
      <w:pPr>
        <w:rPr>
          <w:rFonts w:ascii="Times New Roman" w:hAnsi="Times New Roman" w:cs="Times New Roman"/>
          <w:b/>
        </w:rPr>
      </w:pPr>
    </w:p>
    <w:p w:rsidR="005C242E" w:rsidRDefault="005C242E" w:rsidP="005C242E">
      <w:pPr>
        <w:pStyle w:val="Heading1"/>
        <w:spacing w:line="480" w:lineRule="auto"/>
        <w:rPr>
          <w:rFonts w:ascii="Times New Roman" w:eastAsiaTheme="minorEastAsia" w:hAnsi="Times New Roman" w:cs="Times New Roman"/>
          <w:bCs w:val="0"/>
          <w:color w:val="auto"/>
          <w:sz w:val="22"/>
          <w:szCs w:val="22"/>
        </w:rPr>
      </w:pPr>
    </w:p>
    <w:p w:rsidR="001224A8" w:rsidRDefault="001224A8" w:rsidP="001224A8"/>
    <w:p w:rsidR="00117C84" w:rsidRPr="005C242E" w:rsidRDefault="00117C84" w:rsidP="005C242E"/>
    <w:p w:rsidR="0089480A" w:rsidRPr="00BE498A" w:rsidRDefault="0089480A" w:rsidP="006B0B18">
      <w:pPr>
        <w:pStyle w:val="Heading1"/>
        <w:spacing w:line="480" w:lineRule="auto"/>
        <w:jc w:val="center"/>
        <w:rPr>
          <w:rFonts w:ascii="Times New Roman" w:hAnsi="Times New Roman" w:cs="Times New Roman"/>
          <w:color w:val="auto"/>
          <w:sz w:val="24"/>
          <w:szCs w:val="24"/>
        </w:rPr>
      </w:pPr>
      <w:bookmarkStart w:id="25" w:name="_Toc346718443"/>
      <w:r w:rsidRPr="00BE498A">
        <w:rPr>
          <w:rFonts w:ascii="Times New Roman" w:hAnsi="Times New Roman" w:cs="Times New Roman"/>
          <w:color w:val="auto"/>
          <w:sz w:val="24"/>
          <w:szCs w:val="24"/>
        </w:rPr>
        <w:t>References</w:t>
      </w:r>
      <w:bookmarkEnd w:id="25"/>
    </w:p>
    <w:p w:rsidR="00662D84" w:rsidRDefault="00FE4A1A" w:rsidP="00662D84">
      <w:pPr>
        <w:autoSpaceDE w:val="0"/>
        <w:autoSpaceDN w:val="0"/>
        <w:adjustRightInd w:val="0"/>
        <w:spacing w:after="0" w:line="240" w:lineRule="auto"/>
        <w:ind w:left="720" w:hanging="720"/>
        <w:rPr>
          <w:rFonts w:ascii="Times New Roman" w:hAnsi="Times New Roman" w:cs="Times New Roman"/>
          <w:sz w:val="24"/>
          <w:szCs w:val="24"/>
        </w:rPr>
      </w:pPr>
      <w:r w:rsidRPr="00B76321">
        <w:rPr>
          <w:rFonts w:ascii="Times New Roman" w:hAnsi="Times New Roman" w:cs="Times New Roman"/>
          <w:sz w:val="24"/>
          <w:szCs w:val="24"/>
        </w:rPr>
        <w:t xml:space="preserve">Akhtar, M. F., Ali, K., &amp; Sadaqat, S. (2011). Factors influencing the profitability of </w:t>
      </w:r>
      <w:r w:rsidR="00852351">
        <w:rPr>
          <w:rFonts w:ascii="Times New Roman" w:hAnsi="Times New Roman" w:cs="Times New Roman"/>
          <w:sz w:val="24"/>
          <w:szCs w:val="24"/>
        </w:rPr>
        <w:t>Islamic banks</w:t>
      </w:r>
      <w:r w:rsidRPr="00B76321">
        <w:rPr>
          <w:rFonts w:ascii="Times New Roman" w:hAnsi="Times New Roman" w:cs="Times New Roman"/>
          <w:sz w:val="24"/>
          <w:szCs w:val="24"/>
        </w:rPr>
        <w:t xml:space="preserve"> of Pakistan. </w:t>
      </w:r>
      <w:r w:rsidRPr="00B76321">
        <w:rPr>
          <w:rFonts w:ascii="Times New Roman" w:hAnsi="Times New Roman" w:cs="Times New Roman"/>
          <w:i/>
          <w:iCs/>
          <w:sz w:val="24"/>
          <w:szCs w:val="24"/>
        </w:rPr>
        <w:t xml:space="preserve">International Research Journal of Finance and Economics, </w:t>
      </w:r>
      <w:r w:rsidR="00662D84" w:rsidRPr="00662D84">
        <w:rPr>
          <w:rFonts w:ascii="Times New Roman" w:hAnsi="Times New Roman" w:cs="Times New Roman"/>
          <w:i/>
          <w:sz w:val="24"/>
          <w:szCs w:val="24"/>
        </w:rPr>
        <w:t>66</w:t>
      </w:r>
      <w:r w:rsidRPr="00B76321">
        <w:rPr>
          <w:rFonts w:ascii="Times New Roman" w:hAnsi="Times New Roman" w:cs="Times New Roman"/>
          <w:sz w:val="24"/>
          <w:szCs w:val="24"/>
        </w:rPr>
        <w:t xml:space="preserve">, 125-132. </w:t>
      </w:r>
    </w:p>
    <w:p w:rsidR="00662D84" w:rsidRDefault="00662D84" w:rsidP="00662D84">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p>
    <w:p w:rsidR="00662D84" w:rsidRDefault="00FE4A1A" w:rsidP="00662D84">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r w:rsidRPr="00B76321">
        <w:rPr>
          <w:rFonts w:ascii="Times New Roman" w:hAnsi="Times New Roman" w:cs="Times New Roman"/>
          <w:sz w:val="24"/>
          <w:szCs w:val="24"/>
          <w:shd w:val="clear" w:color="auto" w:fill="FFFFFF"/>
        </w:rPr>
        <w:t>Al-Tamimi, H. A. H. (2010). Factors influencing performance of the UAE Islamic and conventional national banks.</w:t>
      </w:r>
      <w:r w:rsidRPr="00B76321">
        <w:rPr>
          <w:rStyle w:val="apple-converted-space"/>
          <w:rFonts w:ascii="Times New Roman" w:hAnsi="Times New Roman" w:cs="Times New Roman"/>
          <w:sz w:val="24"/>
          <w:szCs w:val="24"/>
          <w:shd w:val="clear" w:color="auto" w:fill="FFFFFF"/>
        </w:rPr>
        <w:t> </w:t>
      </w:r>
      <w:r w:rsidRPr="00B76321">
        <w:rPr>
          <w:rFonts w:ascii="Times New Roman" w:hAnsi="Times New Roman" w:cs="Times New Roman"/>
          <w:i/>
          <w:iCs/>
          <w:sz w:val="24"/>
          <w:szCs w:val="24"/>
          <w:shd w:val="clear" w:color="auto" w:fill="FFFFFF"/>
        </w:rPr>
        <w:t>Global Journal of Business Research (GJBR)</w:t>
      </w:r>
      <w:r w:rsidRPr="00B76321">
        <w:rPr>
          <w:rFonts w:ascii="Times New Roman" w:hAnsi="Times New Roman" w:cs="Times New Roman"/>
          <w:sz w:val="24"/>
          <w:szCs w:val="24"/>
          <w:shd w:val="clear" w:color="auto" w:fill="FFFFFF"/>
        </w:rPr>
        <w:t xml:space="preserve">, </w:t>
      </w:r>
      <w:r w:rsidRPr="00B76321">
        <w:rPr>
          <w:rFonts w:ascii="Times New Roman" w:hAnsi="Times New Roman" w:cs="Times New Roman"/>
          <w:i/>
          <w:iCs/>
          <w:sz w:val="24"/>
          <w:szCs w:val="24"/>
          <w:shd w:val="clear" w:color="auto" w:fill="FFFFFF"/>
        </w:rPr>
        <w:t>4</w:t>
      </w:r>
      <w:r w:rsidRPr="00B76321">
        <w:rPr>
          <w:rFonts w:ascii="Times New Roman" w:hAnsi="Times New Roman" w:cs="Times New Roman"/>
          <w:sz w:val="24"/>
          <w:szCs w:val="24"/>
          <w:shd w:val="clear" w:color="auto" w:fill="FFFFFF"/>
        </w:rPr>
        <w:t xml:space="preserve">(2), 1-9. </w:t>
      </w:r>
    </w:p>
    <w:p w:rsidR="00662D84" w:rsidRDefault="00662D84" w:rsidP="00662D84">
      <w:pPr>
        <w:autoSpaceDE w:val="0"/>
        <w:autoSpaceDN w:val="0"/>
        <w:adjustRightInd w:val="0"/>
        <w:spacing w:after="0" w:line="240" w:lineRule="auto"/>
        <w:ind w:left="720" w:hanging="720"/>
        <w:rPr>
          <w:rFonts w:ascii="Times New Roman" w:hAnsi="Times New Roman" w:cs="Times New Roman"/>
          <w:sz w:val="24"/>
          <w:szCs w:val="24"/>
        </w:rPr>
      </w:pPr>
    </w:p>
    <w:p w:rsidR="00662D84" w:rsidRDefault="00FE4A1A" w:rsidP="00662D84">
      <w:pPr>
        <w:autoSpaceDE w:val="0"/>
        <w:autoSpaceDN w:val="0"/>
        <w:adjustRightInd w:val="0"/>
        <w:spacing w:after="0" w:line="240" w:lineRule="auto"/>
        <w:ind w:left="720" w:hanging="720"/>
        <w:rPr>
          <w:rFonts w:ascii="Times New Roman" w:hAnsi="Times New Roman" w:cs="Times New Roman"/>
          <w:sz w:val="24"/>
          <w:szCs w:val="24"/>
        </w:rPr>
      </w:pPr>
      <w:r w:rsidRPr="00B76321">
        <w:rPr>
          <w:rFonts w:ascii="Times New Roman" w:hAnsi="Times New Roman" w:cs="Times New Roman"/>
          <w:sz w:val="24"/>
          <w:szCs w:val="24"/>
          <w:shd w:val="clear" w:color="auto" w:fill="FFFFFF"/>
        </w:rPr>
        <w:t xml:space="preserve">Alkassim, F. A. (2005). </w:t>
      </w:r>
      <w:r w:rsidRPr="00B76321">
        <w:rPr>
          <w:rFonts w:ascii="Times New Roman" w:hAnsi="Times New Roman" w:cs="Times New Roman"/>
          <w:i/>
          <w:sz w:val="24"/>
          <w:szCs w:val="24"/>
          <w:shd w:val="clear" w:color="auto" w:fill="FFFFFF"/>
        </w:rPr>
        <w:t xml:space="preserve">The profitability of Islamic and conventional banking in the GCC countries: A comparative study. </w:t>
      </w:r>
      <w:r w:rsidRPr="00B76321">
        <w:rPr>
          <w:rFonts w:ascii="Times New Roman" w:hAnsi="Times New Roman" w:cs="Times New Roman"/>
          <w:sz w:val="24"/>
          <w:szCs w:val="24"/>
          <w:shd w:val="clear" w:color="auto" w:fill="FFFFFF"/>
        </w:rPr>
        <w:t>(</w:t>
      </w:r>
      <w:r w:rsidRPr="00B76321">
        <w:rPr>
          <w:rFonts w:ascii="Times New Roman" w:hAnsi="Times New Roman" w:cs="Times New Roman"/>
          <w:iCs/>
          <w:sz w:val="24"/>
          <w:szCs w:val="24"/>
          <w:shd w:val="clear" w:color="auto" w:fill="FFFFFF"/>
        </w:rPr>
        <w:t xml:space="preserve">Unpublished master’s thesis).  Retrieved from </w:t>
      </w:r>
      <w:hyperlink r:id="rId25" w:history="1">
        <w:r w:rsidRPr="00B76321">
          <w:rPr>
            <w:rStyle w:val="Hyperlink"/>
            <w:rFonts w:ascii="Times New Roman" w:hAnsi="Times New Roman" w:cs="Times New Roman"/>
            <w:iCs/>
            <w:color w:val="auto"/>
            <w:sz w:val="24"/>
            <w:szCs w:val="24"/>
            <w:u w:val="none"/>
            <w:shd w:val="clear" w:color="auto" w:fill="FFFFFF"/>
          </w:rPr>
          <w:t>http://www.failaka.com/downloads/Profitability_Islamic_Banking.pdf</w:t>
        </w:r>
      </w:hyperlink>
      <w:r w:rsidRPr="00B76321">
        <w:rPr>
          <w:rFonts w:ascii="Times New Roman" w:hAnsi="Times New Roman" w:cs="Times New Roman"/>
          <w:iCs/>
          <w:sz w:val="24"/>
          <w:szCs w:val="24"/>
          <w:shd w:val="clear" w:color="auto" w:fill="FFFFFF"/>
        </w:rPr>
        <w:t xml:space="preserve"> </w:t>
      </w:r>
    </w:p>
    <w:p w:rsidR="00662D84" w:rsidRDefault="00662D84" w:rsidP="00662D84">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p>
    <w:p w:rsidR="00662D84" w:rsidRDefault="00FE4A1A" w:rsidP="00662D84">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r w:rsidRPr="00B76321">
        <w:rPr>
          <w:rFonts w:ascii="Times New Roman" w:hAnsi="Times New Roman" w:cs="Times New Roman"/>
          <w:sz w:val="24"/>
          <w:szCs w:val="24"/>
          <w:shd w:val="clear" w:color="auto" w:fill="FFFFFF"/>
        </w:rPr>
        <w:t>Asutay, M., &amp; Izhar, H. (2007). Estimating the profitability of Islamic banking: Evidence from Bank Muamalat Indonesia.</w:t>
      </w:r>
      <w:r w:rsidRPr="00B76321">
        <w:rPr>
          <w:rStyle w:val="apple-converted-space"/>
          <w:rFonts w:ascii="Times New Roman" w:hAnsi="Times New Roman" w:cs="Times New Roman"/>
          <w:sz w:val="24"/>
          <w:szCs w:val="24"/>
          <w:shd w:val="clear" w:color="auto" w:fill="FFFFFF"/>
        </w:rPr>
        <w:t> </w:t>
      </w:r>
      <w:r w:rsidRPr="00B76321">
        <w:rPr>
          <w:rFonts w:ascii="Times New Roman" w:hAnsi="Times New Roman" w:cs="Times New Roman"/>
          <w:i/>
          <w:iCs/>
          <w:sz w:val="24"/>
          <w:szCs w:val="24"/>
          <w:shd w:val="clear" w:color="auto" w:fill="FFFFFF"/>
        </w:rPr>
        <w:t>Review of Islamic Economics</w:t>
      </w:r>
      <w:r w:rsidRPr="00B76321">
        <w:rPr>
          <w:rFonts w:ascii="Times New Roman" w:hAnsi="Times New Roman" w:cs="Times New Roman"/>
          <w:sz w:val="24"/>
          <w:szCs w:val="24"/>
          <w:shd w:val="clear" w:color="auto" w:fill="FFFFFF"/>
        </w:rPr>
        <w:t>,</w:t>
      </w:r>
      <w:r w:rsidRPr="00B76321">
        <w:rPr>
          <w:rStyle w:val="apple-converted-space"/>
          <w:rFonts w:ascii="Times New Roman" w:hAnsi="Times New Roman" w:cs="Times New Roman"/>
          <w:sz w:val="24"/>
          <w:szCs w:val="24"/>
          <w:shd w:val="clear" w:color="auto" w:fill="FFFFFF"/>
        </w:rPr>
        <w:t> </w:t>
      </w:r>
      <w:r w:rsidRPr="00B76321">
        <w:rPr>
          <w:rFonts w:ascii="Times New Roman" w:hAnsi="Times New Roman" w:cs="Times New Roman"/>
          <w:i/>
          <w:iCs/>
          <w:sz w:val="24"/>
          <w:szCs w:val="24"/>
          <w:shd w:val="clear" w:color="auto" w:fill="FFFFFF"/>
        </w:rPr>
        <w:t>11</w:t>
      </w:r>
      <w:r w:rsidRPr="00B76321">
        <w:rPr>
          <w:rFonts w:ascii="Times New Roman" w:hAnsi="Times New Roman" w:cs="Times New Roman"/>
          <w:sz w:val="24"/>
          <w:szCs w:val="24"/>
          <w:shd w:val="clear" w:color="auto" w:fill="FFFFFF"/>
        </w:rPr>
        <w:t xml:space="preserve">(2), 17-29. </w:t>
      </w:r>
    </w:p>
    <w:p w:rsidR="00662D84" w:rsidRDefault="00662D84" w:rsidP="00662D84">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p>
    <w:p w:rsidR="00662D84" w:rsidRDefault="00FE4A1A" w:rsidP="00662D84">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r w:rsidRPr="00B76321">
        <w:rPr>
          <w:rFonts w:ascii="Times New Roman" w:hAnsi="Times New Roman" w:cs="Times New Roman"/>
          <w:sz w:val="24"/>
          <w:szCs w:val="24"/>
          <w:shd w:val="clear" w:color="auto" w:fill="FFFFFF"/>
        </w:rPr>
        <w:t xml:space="preserve">Bashir, A. M. (2003). Determinants of profitability in </w:t>
      </w:r>
      <w:r w:rsidR="00852351">
        <w:rPr>
          <w:rFonts w:ascii="Times New Roman" w:hAnsi="Times New Roman" w:cs="Times New Roman"/>
          <w:sz w:val="24"/>
          <w:szCs w:val="24"/>
          <w:shd w:val="clear" w:color="auto" w:fill="FFFFFF"/>
        </w:rPr>
        <w:t>Islamic banks</w:t>
      </w:r>
      <w:r w:rsidRPr="00B76321">
        <w:rPr>
          <w:rFonts w:ascii="Times New Roman" w:hAnsi="Times New Roman" w:cs="Times New Roman"/>
          <w:sz w:val="24"/>
          <w:szCs w:val="24"/>
          <w:shd w:val="clear" w:color="auto" w:fill="FFFFFF"/>
        </w:rPr>
        <w:t>: Some evidence from the Middle East.</w:t>
      </w:r>
      <w:r w:rsidRPr="00B76321">
        <w:rPr>
          <w:rStyle w:val="apple-converted-space"/>
          <w:rFonts w:ascii="Times New Roman" w:hAnsi="Times New Roman" w:cs="Times New Roman"/>
          <w:sz w:val="24"/>
          <w:szCs w:val="24"/>
          <w:shd w:val="clear" w:color="auto" w:fill="FFFFFF"/>
        </w:rPr>
        <w:t> </w:t>
      </w:r>
      <w:r w:rsidRPr="00B76321">
        <w:rPr>
          <w:rFonts w:ascii="Times New Roman" w:hAnsi="Times New Roman" w:cs="Times New Roman"/>
          <w:i/>
          <w:iCs/>
          <w:sz w:val="24"/>
          <w:szCs w:val="24"/>
          <w:shd w:val="clear" w:color="auto" w:fill="FFFFFF"/>
        </w:rPr>
        <w:t>Islamic Economic Studies</w:t>
      </w:r>
      <w:r w:rsidRPr="00B76321">
        <w:rPr>
          <w:rFonts w:ascii="Times New Roman" w:hAnsi="Times New Roman" w:cs="Times New Roman"/>
          <w:sz w:val="24"/>
          <w:szCs w:val="24"/>
          <w:shd w:val="clear" w:color="auto" w:fill="FFFFFF"/>
        </w:rPr>
        <w:t>,</w:t>
      </w:r>
      <w:r w:rsidRPr="00B76321">
        <w:rPr>
          <w:rStyle w:val="apple-converted-space"/>
          <w:rFonts w:ascii="Times New Roman" w:hAnsi="Times New Roman" w:cs="Times New Roman"/>
          <w:sz w:val="24"/>
          <w:szCs w:val="24"/>
          <w:shd w:val="clear" w:color="auto" w:fill="FFFFFF"/>
        </w:rPr>
        <w:t> </w:t>
      </w:r>
      <w:r w:rsidRPr="00B76321">
        <w:rPr>
          <w:rFonts w:ascii="Times New Roman" w:hAnsi="Times New Roman" w:cs="Times New Roman"/>
          <w:i/>
          <w:iCs/>
          <w:sz w:val="24"/>
          <w:szCs w:val="24"/>
          <w:shd w:val="clear" w:color="auto" w:fill="FFFFFF"/>
        </w:rPr>
        <w:t>11</w:t>
      </w:r>
      <w:r w:rsidRPr="00B76321">
        <w:rPr>
          <w:rFonts w:ascii="Times New Roman" w:hAnsi="Times New Roman" w:cs="Times New Roman"/>
          <w:sz w:val="24"/>
          <w:szCs w:val="24"/>
          <w:shd w:val="clear" w:color="auto" w:fill="FFFFFF"/>
        </w:rPr>
        <w:t xml:space="preserve">(1), 31-57. </w:t>
      </w:r>
    </w:p>
    <w:p w:rsidR="00662D84" w:rsidRDefault="00662D84" w:rsidP="00662D84">
      <w:pPr>
        <w:autoSpaceDE w:val="0"/>
        <w:autoSpaceDN w:val="0"/>
        <w:adjustRightInd w:val="0"/>
        <w:spacing w:after="0" w:line="240" w:lineRule="auto"/>
        <w:ind w:left="720" w:hanging="720"/>
        <w:rPr>
          <w:rFonts w:ascii="Times New Roman" w:hAnsi="Times New Roman" w:cs="Times New Roman"/>
          <w:sz w:val="24"/>
          <w:szCs w:val="24"/>
        </w:rPr>
      </w:pPr>
    </w:p>
    <w:p w:rsidR="00662D84" w:rsidRDefault="00FE4A1A" w:rsidP="00662D84">
      <w:pPr>
        <w:autoSpaceDE w:val="0"/>
        <w:autoSpaceDN w:val="0"/>
        <w:adjustRightInd w:val="0"/>
        <w:spacing w:after="0" w:line="240" w:lineRule="auto"/>
        <w:ind w:left="720" w:hanging="720"/>
        <w:rPr>
          <w:rStyle w:val="apple-style-span"/>
          <w:rFonts w:ascii="Times New Roman" w:hAnsi="Times New Roman" w:cs="Times New Roman"/>
          <w:sz w:val="24"/>
          <w:szCs w:val="24"/>
        </w:rPr>
      </w:pPr>
      <w:r w:rsidRPr="00C14E38">
        <w:rPr>
          <w:rFonts w:ascii="Times New Roman" w:hAnsi="Times New Roman" w:cs="Times New Roman"/>
          <w:sz w:val="24"/>
          <w:szCs w:val="24"/>
        </w:rPr>
        <w:t xml:space="preserve">Beck, T., Demirgüç-Kunt, A., &amp; Merrouche, O. (2010). </w:t>
      </w:r>
      <w:r w:rsidRPr="00B76321">
        <w:rPr>
          <w:rFonts w:ascii="Times New Roman" w:hAnsi="Times New Roman" w:cs="Times New Roman"/>
          <w:sz w:val="24"/>
          <w:szCs w:val="24"/>
        </w:rPr>
        <w:t xml:space="preserve">Islamic vs. conventional banking: Business model, efficiency and stability. </w:t>
      </w:r>
      <w:r w:rsidRPr="00B76321">
        <w:rPr>
          <w:rFonts w:ascii="Times New Roman" w:hAnsi="Times New Roman" w:cs="Times New Roman"/>
          <w:i/>
          <w:iCs/>
          <w:sz w:val="24"/>
          <w:szCs w:val="24"/>
        </w:rPr>
        <w:t xml:space="preserve">World Bank Policy Research Working Paper Series </w:t>
      </w:r>
      <w:r w:rsidRPr="00B76321">
        <w:rPr>
          <w:rFonts w:ascii="Times New Roman" w:hAnsi="Times New Roman" w:cs="Times New Roman"/>
          <w:sz w:val="24"/>
          <w:szCs w:val="24"/>
        </w:rPr>
        <w:t xml:space="preserve">(5446), 1-42.  Retrieved from </w:t>
      </w:r>
      <w:hyperlink r:id="rId26" w:history="1">
        <w:r w:rsidRPr="00B76321">
          <w:rPr>
            <w:rStyle w:val="Hyperlink"/>
            <w:rFonts w:ascii="Times New Roman" w:hAnsi="Times New Roman" w:cs="Times New Roman"/>
            <w:color w:val="auto"/>
            <w:sz w:val="24"/>
            <w:szCs w:val="24"/>
            <w:u w:val="none"/>
          </w:rPr>
          <w:t>https://openknowledge.worldbank.org/bitstream/handle/10986/3929/WPS5446.pdf?sequence=1</w:t>
        </w:r>
      </w:hyperlink>
      <w:r w:rsidRPr="00B76321">
        <w:rPr>
          <w:rFonts w:ascii="Times New Roman" w:hAnsi="Times New Roman" w:cs="Times New Roman"/>
          <w:sz w:val="24"/>
          <w:szCs w:val="24"/>
        </w:rPr>
        <w:t xml:space="preserve"> </w:t>
      </w:r>
    </w:p>
    <w:p w:rsidR="00662D84" w:rsidRDefault="00662D84" w:rsidP="00662D84">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p>
    <w:p w:rsidR="00662D84" w:rsidRDefault="00FE4A1A" w:rsidP="00662D84">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r w:rsidRPr="00B76321">
        <w:rPr>
          <w:rFonts w:ascii="Times New Roman" w:hAnsi="Times New Roman" w:cs="Times New Roman"/>
          <w:sz w:val="24"/>
          <w:szCs w:val="24"/>
          <w:shd w:val="clear" w:color="auto" w:fill="FFFFFF"/>
        </w:rPr>
        <w:t>Bintawim, S. S. (2011).</w:t>
      </w:r>
      <w:r w:rsidRPr="00B76321">
        <w:rPr>
          <w:rStyle w:val="apple-converted-space"/>
          <w:rFonts w:ascii="Times New Roman" w:hAnsi="Times New Roman" w:cs="Times New Roman"/>
          <w:sz w:val="24"/>
          <w:szCs w:val="24"/>
          <w:shd w:val="clear" w:color="auto" w:fill="FFFFFF"/>
        </w:rPr>
        <w:t> </w:t>
      </w:r>
      <w:r w:rsidRPr="00B76321">
        <w:rPr>
          <w:rFonts w:ascii="Times New Roman" w:hAnsi="Times New Roman" w:cs="Times New Roman"/>
          <w:i/>
          <w:iCs/>
          <w:sz w:val="24"/>
          <w:szCs w:val="24"/>
          <w:shd w:val="clear" w:color="auto" w:fill="FFFFFF"/>
        </w:rPr>
        <w:t>Performance analysis of Islamic banking: Some evidence from Saudi Arabian banking sector</w:t>
      </w:r>
      <w:r w:rsidRPr="00B76321">
        <w:rPr>
          <w:rStyle w:val="apple-converted-space"/>
          <w:rFonts w:ascii="Times New Roman" w:hAnsi="Times New Roman" w:cs="Times New Roman"/>
          <w:sz w:val="24"/>
          <w:szCs w:val="24"/>
          <w:shd w:val="clear" w:color="auto" w:fill="FFFFFF"/>
        </w:rPr>
        <w:t> </w:t>
      </w:r>
      <w:r w:rsidRPr="00B76321">
        <w:rPr>
          <w:rFonts w:ascii="Times New Roman" w:hAnsi="Times New Roman" w:cs="Times New Roman"/>
          <w:sz w:val="24"/>
          <w:szCs w:val="24"/>
          <w:shd w:val="clear" w:color="auto" w:fill="FFFFFF"/>
        </w:rPr>
        <w:t xml:space="preserve">(Master’s thesis, </w:t>
      </w:r>
      <w:r w:rsidRPr="00B76321">
        <w:rPr>
          <w:rFonts w:ascii="Times New Roman" w:hAnsi="Times New Roman" w:cs="Times New Roman"/>
          <w:sz w:val="24"/>
          <w:szCs w:val="24"/>
        </w:rPr>
        <w:t xml:space="preserve">Ritsumeikan Asia Pacific University, Oita, Japan). Retrieved from </w:t>
      </w:r>
      <w:hyperlink r:id="rId27" w:history="1">
        <w:r w:rsidRPr="00B76321">
          <w:rPr>
            <w:rStyle w:val="Hyperlink"/>
            <w:rFonts w:ascii="Times New Roman" w:hAnsi="Times New Roman" w:cs="Times New Roman"/>
            <w:color w:val="auto"/>
            <w:sz w:val="24"/>
            <w:szCs w:val="24"/>
            <w:u w:val="none"/>
          </w:rPr>
          <w:t>http://r-cube.ritsumei.ac.jp/bitstream/10367/2589/1/Bintawim%20Samar%20Saud%20S..pdf</w:t>
        </w:r>
      </w:hyperlink>
      <w:r w:rsidRPr="00B76321">
        <w:rPr>
          <w:rFonts w:ascii="Times New Roman" w:hAnsi="Times New Roman" w:cs="Times New Roman"/>
          <w:sz w:val="24"/>
          <w:szCs w:val="24"/>
        </w:rPr>
        <w:t xml:space="preserve"> </w:t>
      </w:r>
    </w:p>
    <w:p w:rsidR="00662D84" w:rsidRDefault="00662D84" w:rsidP="00662D84">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p>
    <w:p w:rsidR="00662D84" w:rsidRDefault="00FE4A1A" w:rsidP="00662D84">
      <w:pPr>
        <w:autoSpaceDE w:val="0"/>
        <w:autoSpaceDN w:val="0"/>
        <w:adjustRightInd w:val="0"/>
        <w:spacing w:after="0" w:line="240" w:lineRule="auto"/>
        <w:ind w:left="720" w:hanging="720"/>
        <w:rPr>
          <w:rStyle w:val="apple-style-span"/>
          <w:rFonts w:ascii="Times New Roman" w:hAnsi="Times New Roman" w:cs="Times New Roman"/>
          <w:sz w:val="24"/>
          <w:szCs w:val="24"/>
          <w:shd w:val="clear" w:color="auto" w:fill="FFFFFF"/>
        </w:rPr>
      </w:pPr>
      <w:r w:rsidRPr="00B76321">
        <w:rPr>
          <w:rFonts w:ascii="Times New Roman" w:hAnsi="Times New Roman" w:cs="Times New Roman"/>
          <w:sz w:val="24"/>
          <w:szCs w:val="24"/>
          <w:shd w:val="clear" w:color="auto" w:fill="FFFFFF"/>
        </w:rPr>
        <w:t>Bourke, P. (1989). Concentration and other determinants of bank profitability in Europe, North America and Australia.</w:t>
      </w:r>
      <w:r w:rsidRPr="00B76321">
        <w:rPr>
          <w:rStyle w:val="apple-converted-space"/>
          <w:rFonts w:ascii="Times New Roman" w:hAnsi="Times New Roman" w:cs="Times New Roman"/>
          <w:sz w:val="24"/>
          <w:szCs w:val="24"/>
          <w:shd w:val="clear" w:color="auto" w:fill="FFFFFF"/>
        </w:rPr>
        <w:t> </w:t>
      </w:r>
      <w:r w:rsidRPr="00B76321">
        <w:rPr>
          <w:rFonts w:ascii="Times New Roman" w:hAnsi="Times New Roman" w:cs="Times New Roman"/>
          <w:i/>
          <w:iCs/>
          <w:sz w:val="24"/>
          <w:szCs w:val="24"/>
          <w:shd w:val="clear" w:color="auto" w:fill="FFFFFF"/>
        </w:rPr>
        <w:t>Journal of Banking &amp; Finance</w:t>
      </w:r>
      <w:r w:rsidRPr="00B76321">
        <w:rPr>
          <w:rFonts w:ascii="Times New Roman" w:hAnsi="Times New Roman" w:cs="Times New Roman"/>
          <w:sz w:val="24"/>
          <w:szCs w:val="24"/>
          <w:shd w:val="clear" w:color="auto" w:fill="FFFFFF"/>
        </w:rPr>
        <w:t>,</w:t>
      </w:r>
      <w:r w:rsidRPr="00B76321">
        <w:rPr>
          <w:rStyle w:val="apple-converted-space"/>
          <w:rFonts w:ascii="Times New Roman" w:hAnsi="Times New Roman" w:cs="Times New Roman"/>
          <w:sz w:val="24"/>
          <w:szCs w:val="24"/>
          <w:shd w:val="clear" w:color="auto" w:fill="FFFFFF"/>
        </w:rPr>
        <w:t> </w:t>
      </w:r>
      <w:r w:rsidRPr="00B76321">
        <w:rPr>
          <w:rFonts w:ascii="Times New Roman" w:hAnsi="Times New Roman" w:cs="Times New Roman"/>
          <w:i/>
          <w:iCs/>
          <w:sz w:val="24"/>
          <w:szCs w:val="24"/>
          <w:shd w:val="clear" w:color="auto" w:fill="FFFFFF"/>
        </w:rPr>
        <w:t>13</w:t>
      </w:r>
      <w:r w:rsidRPr="00B76321">
        <w:rPr>
          <w:rFonts w:ascii="Times New Roman" w:hAnsi="Times New Roman" w:cs="Times New Roman"/>
          <w:sz w:val="24"/>
          <w:szCs w:val="24"/>
          <w:shd w:val="clear" w:color="auto" w:fill="FFFFFF"/>
        </w:rPr>
        <w:t xml:space="preserve">(1), 65-79. </w:t>
      </w:r>
    </w:p>
    <w:p w:rsidR="00662D84" w:rsidRDefault="00662D84" w:rsidP="00662D84">
      <w:pPr>
        <w:autoSpaceDE w:val="0"/>
        <w:autoSpaceDN w:val="0"/>
        <w:adjustRightInd w:val="0"/>
        <w:spacing w:after="0" w:line="240" w:lineRule="auto"/>
        <w:rPr>
          <w:rFonts w:ascii="Times New Roman" w:hAnsi="Times New Roman" w:cs="Times New Roman"/>
          <w:sz w:val="24"/>
          <w:szCs w:val="24"/>
          <w:shd w:val="clear" w:color="auto" w:fill="FFFFFF"/>
        </w:rPr>
      </w:pPr>
    </w:p>
    <w:p w:rsidR="00662D84" w:rsidRDefault="00FE4A1A" w:rsidP="00662D84">
      <w:pPr>
        <w:autoSpaceDE w:val="0"/>
        <w:autoSpaceDN w:val="0"/>
        <w:adjustRightInd w:val="0"/>
        <w:spacing w:after="0" w:line="240" w:lineRule="auto"/>
        <w:ind w:left="720" w:hanging="720"/>
        <w:rPr>
          <w:rFonts w:ascii="Times New Roman" w:hAnsi="Times New Roman" w:cs="Times New Roman"/>
          <w:sz w:val="24"/>
          <w:szCs w:val="24"/>
        </w:rPr>
      </w:pPr>
      <w:r w:rsidRPr="00B76321">
        <w:rPr>
          <w:rFonts w:ascii="Times New Roman" w:hAnsi="Times New Roman" w:cs="Times New Roman"/>
          <w:sz w:val="24"/>
          <w:szCs w:val="24"/>
          <w:shd w:val="clear" w:color="auto" w:fill="FFFFFF"/>
        </w:rPr>
        <w:t xml:space="preserve">Central Bank of Malaysia. (2012). </w:t>
      </w:r>
      <w:r w:rsidR="00852351">
        <w:rPr>
          <w:rFonts w:ascii="Times New Roman" w:hAnsi="Times New Roman" w:cs="Times New Roman"/>
          <w:i/>
          <w:sz w:val="24"/>
          <w:szCs w:val="24"/>
          <w:shd w:val="clear" w:color="auto" w:fill="FFFFFF"/>
        </w:rPr>
        <w:t>Islamic banks</w:t>
      </w:r>
      <w:r w:rsidRPr="00B76321">
        <w:rPr>
          <w:rFonts w:ascii="Times New Roman" w:hAnsi="Times New Roman" w:cs="Times New Roman"/>
          <w:sz w:val="24"/>
          <w:szCs w:val="24"/>
          <w:shd w:val="clear" w:color="auto" w:fill="FFFFFF"/>
        </w:rPr>
        <w:t xml:space="preserve">. Retrieved from </w:t>
      </w:r>
      <w:hyperlink r:id="rId28" w:history="1">
        <w:r w:rsidRPr="00B76321">
          <w:rPr>
            <w:rStyle w:val="Hyperlink"/>
            <w:rFonts w:ascii="Times New Roman" w:hAnsi="Times New Roman" w:cs="Times New Roman"/>
            <w:color w:val="auto"/>
            <w:sz w:val="24"/>
            <w:szCs w:val="24"/>
            <w:u w:val="none"/>
            <w:shd w:val="clear" w:color="auto" w:fill="FFFFFF"/>
          </w:rPr>
          <w:t>http://www.bnm.gov.my/index.php?ch=li&amp;cat=islamic&amp;type=IB&amp;fund=0&amp;cu=0</w:t>
        </w:r>
      </w:hyperlink>
    </w:p>
    <w:p w:rsidR="00662D84" w:rsidRDefault="00662D84" w:rsidP="00662D84">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p>
    <w:p w:rsidR="00662D84" w:rsidRDefault="00FE4A1A" w:rsidP="00662D84">
      <w:pPr>
        <w:autoSpaceDE w:val="0"/>
        <w:autoSpaceDN w:val="0"/>
        <w:adjustRightInd w:val="0"/>
        <w:spacing w:after="0" w:line="240" w:lineRule="auto"/>
        <w:ind w:left="720" w:hanging="720"/>
        <w:rPr>
          <w:rFonts w:ascii="Times New Roman" w:hAnsi="Times New Roman" w:cs="Times New Roman"/>
          <w:sz w:val="24"/>
          <w:szCs w:val="24"/>
        </w:rPr>
      </w:pPr>
      <w:r w:rsidRPr="00B76321">
        <w:rPr>
          <w:rFonts w:ascii="Times New Roman" w:hAnsi="Times New Roman" w:cs="Times New Roman"/>
          <w:sz w:val="24"/>
          <w:szCs w:val="24"/>
          <w:shd w:val="clear" w:color="auto" w:fill="FFFFFF"/>
        </w:rPr>
        <w:t>Cevik, S., &amp; Charap, J. (2011).</w:t>
      </w:r>
      <w:r w:rsidRPr="00B76321">
        <w:rPr>
          <w:rStyle w:val="apple-converted-space"/>
          <w:rFonts w:ascii="Times New Roman" w:hAnsi="Times New Roman" w:cs="Times New Roman"/>
          <w:sz w:val="24"/>
          <w:szCs w:val="24"/>
          <w:shd w:val="clear" w:color="auto" w:fill="FFFFFF"/>
        </w:rPr>
        <w:t> </w:t>
      </w:r>
      <w:r w:rsidRPr="00B76321">
        <w:rPr>
          <w:rFonts w:ascii="Times New Roman" w:hAnsi="Times New Roman" w:cs="Times New Roman"/>
          <w:iCs/>
          <w:sz w:val="24"/>
          <w:szCs w:val="24"/>
          <w:shd w:val="clear" w:color="auto" w:fill="FFFFFF"/>
        </w:rPr>
        <w:t>The behavior of conventional and Islamic bank deposit returns in Malaysia and Turkey</w:t>
      </w:r>
      <w:r w:rsidRPr="00B76321">
        <w:rPr>
          <w:rFonts w:ascii="Times New Roman" w:hAnsi="Times New Roman" w:cs="Times New Roman"/>
          <w:sz w:val="24"/>
          <w:szCs w:val="24"/>
          <w:shd w:val="clear" w:color="auto" w:fill="FFFFFF"/>
        </w:rPr>
        <w:t xml:space="preserve">. </w:t>
      </w:r>
      <w:r w:rsidRPr="00B76321">
        <w:rPr>
          <w:rFonts w:ascii="Times New Roman" w:hAnsi="Times New Roman" w:cs="Times New Roman"/>
          <w:i/>
          <w:sz w:val="24"/>
          <w:szCs w:val="24"/>
          <w:shd w:val="clear" w:color="auto" w:fill="FFFFFF"/>
        </w:rPr>
        <w:t>Working Paper of the International Monetary Fund</w:t>
      </w:r>
      <w:r w:rsidRPr="00B76321">
        <w:rPr>
          <w:rFonts w:ascii="Times New Roman" w:hAnsi="Times New Roman" w:cs="Times New Roman"/>
          <w:sz w:val="24"/>
          <w:szCs w:val="24"/>
          <w:shd w:val="clear" w:color="auto" w:fill="FFFFFF"/>
        </w:rPr>
        <w:t xml:space="preserve">. Retrieved from </w:t>
      </w:r>
      <w:hyperlink r:id="rId29" w:history="1">
        <w:r w:rsidRPr="00B76321">
          <w:rPr>
            <w:rStyle w:val="Hyperlink"/>
            <w:rFonts w:ascii="Times New Roman" w:hAnsi="Times New Roman" w:cs="Times New Roman"/>
            <w:color w:val="auto"/>
            <w:sz w:val="24"/>
            <w:szCs w:val="24"/>
            <w:u w:val="none"/>
            <w:shd w:val="clear" w:color="auto" w:fill="FFFFFF"/>
          </w:rPr>
          <w:t>http://www.imf.org/external/pubs/ft/wp/2011/wp11156.pdf</w:t>
        </w:r>
      </w:hyperlink>
    </w:p>
    <w:p w:rsidR="00662D84" w:rsidRDefault="00662D84" w:rsidP="00662D84">
      <w:pPr>
        <w:autoSpaceDE w:val="0"/>
        <w:autoSpaceDN w:val="0"/>
        <w:adjustRightInd w:val="0"/>
        <w:spacing w:after="0" w:line="240" w:lineRule="auto"/>
        <w:ind w:left="720" w:hanging="720"/>
        <w:rPr>
          <w:rFonts w:ascii="Times New Roman" w:hAnsi="Times New Roman" w:cs="Times New Roman"/>
          <w:sz w:val="24"/>
          <w:szCs w:val="24"/>
        </w:rPr>
      </w:pPr>
    </w:p>
    <w:p w:rsidR="00662D84" w:rsidRDefault="00FE4A1A" w:rsidP="00662D84">
      <w:pPr>
        <w:autoSpaceDE w:val="0"/>
        <w:autoSpaceDN w:val="0"/>
        <w:adjustRightInd w:val="0"/>
        <w:spacing w:after="0" w:line="240" w:lineRule="auto"/>
        <w:ind w:left="720" w:hanging="720"/>
        <w:rPr>
          <w:rFonts w:ascii="Times New Roman" w:hAnsi="Times New Roman" w:cs="Times New Roman"/>
          <w:sz w:val="24"/>
          <w:szCs w:val="24"/>
        </w:rPr>
      </w:pPr>
      <w:r w:rsidRPr="00B76321">
        <w:rPr>
          <w:rFonts w:ascii="Times New Roman" w:hAnsi="Times New Roman" w:cs="Times New Roman"/>
          <w:sz w:val="24"/>
          <w:szCs w:val="24"/>
          <w:shd w:val="clear" w:color="auto" w:fill="FFFFFF"/>
        </w:rPr>
        <w:t>Chachi, A. (2005). Origin and development of commercial and Islamic banking operations.</w:t>
      </w:r>
      <w:r w:rsidRPr="00B76321">
        <w:rPr>
          <w:rStyle w:val="apple-converted-space"/>
          <w:rFonts w:ascii="Times New Roman" w:hAnsi="Times New Roman" w:cs="Times New Roman"/>
          <w:sz w:val="24"/>
          <w:szCs w:val="24"/>
          <w:shd w:val="clear" w:color="auto" w:fill="FFFFFF"/>
        </w:rPr>
        <w:t> </w:t>
      </w:r>
      <w:r w:rsidRPr="00B76321">
        <w:rPr>
          <w:rFonts w:ascii="Times New Roman" w:hAnsi="Times New Roman" w:cs="Times New Roman"/>
          <w:i/>
          <w:iCs/>
          <w:sz w:val="24"/>
          <w:szCs w:val="24"/>
          <w:shd w:val="clear" w:color="auto" w:fill="FFFFFF"/>
        </w:rPr>
        <w:t>Journal of King Abdul Aziz University</w:t>
      </w:r>
      <w:r w:rsidRPr="00B76321">
        <w:rPr>
          <w:rFonts w:ascii="Times New Roman" w:hAnsi="Times New Roman" w:cs="Times New Roman"/>
          <w:sz w:val="24"/>
          <w:szCs w:val="24"/>
          <w:shd w:val="clear" w:color="auto" w:fill="FFFFFF"/>
        </w:rPr>
        <w:t>,</w:t>
      </w:r>
      <w:r w:rsidRPr="00B76321">
        <w:rPr>
          <w:rStyle w:val="apple-converted-space"/>
          <w:rFonts w:ascii="Times New Roman" w:hAnsi="Times New Roman" w:cs="Times New Roman"/>
          <w:sz w:val="24"/>
          <w:szCs w:val="24"/>
          <w:shd w:val="clear" w:color="auto" w:fill="FFFFFF"/>
        </w:rPr>
        <w:t> </w:t>
      </w:r>
      <w:r w:rsidRPr="00B76321">
        <w:rPr>
          <w:rFonts w:ascii="Times New Roman" w:hAnsi="Times New Roman" w:cs="Times New Roman"/>
          <w:i/>
          <w:iCs/>
          <w:sz w:val="24"/>
          <w:szCs w:val="24"/>
          <w:shd w:val="clear" w:color="auto" w:fill="FFFFFF"/>
        </w:rPr>
        <w:t>18</w:t>
      </w:r>
      <w:r w:rsidRPr="00B76321">
        <w:rPr>
          <w:rFonts w:ascii="Times New Roman" w:hAnsi="Times New Roman" w:cs="Times New Roman"/>
          <w:sz w:val="24"/>
          <w:szCs w:val="24"/>
          <w:shd w:val="clear" w:color="auto" w:fill="FFFFFF"/>
        </w:rPr>
        <w:t xml:space="preserve">(2), 3-25. </w:t>
      </w:r>
    </w:p>
    <w:p w:rsidR="00662D84" w:rsidRDefault="00662D84" w:rsidP="00662D84">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p>
    <w:p w:rsidR="00D80F71" w:rsidRPr="00B76321" w:rsidRDefault="00D80F71" w:rsidP="00D80F71">
      <w:pPr>
        <w:autoSpaceDE w:val="0"/>
        <w:autoSpaceDN w:val="0"/>
        <w:adjustRightInd w:val="0"/>
        <w:spacing w:after="0" w:line="240" w:lineRule="auto"/>
        <w:ind w:left="720" w:hanging="720"/>
        <w:rPr>
          <w:rFonts w:ascii="Times New Roman" w:hAnsi="Times New Roman" w:cs="Times New Roman"/>
          <w:sz w:val="24"/>
          <w:szCs w:val="24"/>
        </w:rPr>
      </w:pPr>
      <w:r w:rsidRPr="00B76321">
        <w:rPr>
          <w:rFonts w:ascii="Times New Roman" w:hAnsi="Times New Roman" w:cs="Times New Roman"/>
          <w:sz w:val="24"/>
          <w:szCs w:val="24"/>
          <w:shd w:val="clear" w:color="auto" w:fill="FFFFFF"/>
        </w:rPr>
        <w:t>Chapra, M. U. (200</w:t>
      </w:r>
      <w:r w:rsidR="00941DEF">
        <w:rPr>
          <w:rFonts w:ascii="Times New Roman" w:hAnsi="Times New Roman" w:cs="Times New Roman"/>
          <w:sz w:val="24"/>
          <w:szCs w:val="24"/>
          <w:shd w:val="clear" w:color="auto" w:fill="FFFFFF"/>
        </w:rPr>
        <w:t>8</w:t>
      </w:r>
      <w:r w:rsidRPr="00B76321">
        <w:rPr>
          <w:rFonts w:ascii="Times New Roman" w:hAnsi="Times New Roman" w:cs="Times New Roman"/>
          <w:sz w:val="24"/>
          <w:szCs w:val="24"/>
          <w:shd w:val="clear" w:color="auto" w:fill="FFFFFF"/>
        </w:rPr>
        <w:t xml:space="preserve">, October). </w:t>
      </w:r>
      <w:r w:rsidRPr="00B76321">
        <w:rPr>
          <w:rFonts w:ascii="Times New Roman" w:hAnsi="Times New Roman" w:cs="Times New Roman"/>
          <w:i/>
          <w:sz w:val="24"/>
          <w:szCs w:val="24"/>
          <w:shd w:val="clear" w:color="auto" w:fill="FFFFFF"/>
        </w:rPr>
        <w:t>The global financial crisis: can Islamic finance help minimize the severity and frequency of such a crisis in the future?</w:t>
      </w:r>
      <w:r w:rsidRPr="00B76321">
        <w:rPr>
          <w:rFonts w:ascii="Times New Roman" w:hAnsi="Times New Roman" w:cs="Times New Roman"/>
          <w:sz w:val="24"/>
          <w:szCs w:val="24"/>
          <w:shd w:val="clear" w:color="auto" w:fill="FFFFFF"/>
        </w:rPr>
        <w:t xml:space="preserve"> The </w:t>
      </w:r>
      <w:r w:rsidRPr="00B76321">
        <w:rPr>
          <w:rFonts w:ascii="Times New Roman" w:hAnsi="Times New Roman" w:cs="Times New Roman"/>
          <w:iCs/>
          <w:sz w:val="24"/>
          <w:szCs w:val="24"/>
          <w:shd w:val="clear" w:color="auto" w:fill="FFFFFF"/>
        </w:rPr>
        <w:t>paper presented at the Forum on the Global Financial Crisis at the Islamic Development Bank</w:t>
      </w:r>
      <w:r w:rsidRPr="00B76321">
        <w:rPr>
          <w:rStyle w:val="apple-converted-space"/>
          <w:rFonts w:ascii="Times New Roman" w:hAnsi="Times New Roman" w:cs="Times New Roman"/>
          <w:sz w:val="24"/>
          <w:szCs w:val="24"/>
          <w:shd w:val="clear" w:color="auto" w:fill="FFFFFF"/>
        </w:rPr>
        <w:t xml:space="preserve">. Abstract retrieved from </w:t>
      </w:r>
      <w:hyperlink r:id="rId30" w:history="1">
        <w:r w:rsidRPr="00B76321">
          <w:rPr>
            <w:rStyle w:val="Hyperlink"/>
            <w:rFonts w:ascii="Times New Roman" w:hAnsi="Times New Roman" w:cs="Times New Roman"/>
            <w:color w:val="auto"/>
            <w:sz w:val="24"/>
            <w:szCs w:val="24"/>
            <w:u w:val="none"/>
            <w:shd w:val="clear" w:color="auto" w:fill="FFFFFF"/>
          </w:rPr>
          <w:t>http://www.isdbforum.org/presentationPapers/5-M_Umer_Chapra.pdf</w:t>
        </w:r>
      </w:hyperlink>
    </w:p>
    <w:p w:rsidR="00D80F71" w:rsidRPr="00B76321" w:rsidRDefault="00D80F71" w:rsidP="00D80F71">
      <w:pPr>
        <w:autoSpaceDE w:val="0"/>
        <w:autoSpaceDN w:val="0"/>
        <w:adjustRightInd w:val="0"/>
        <w:spacing w:after="0" w:line="240" w:lineRule="auto"/>
        <w:rPr>
          <w:rFonts w:ascii="Times New Roman" w:hAnsi="Times New Roman" w:cs="Times New Roman"/>
          <w:sz w:val="24"/>
          <w:szCs w:val="24"/>
          <w:shd w:val="clear" w:color="auto" w:fill="FFFFFF"/>
        </w:rPr>
      </w:pPr>
    </w:p>
    <w:p w:rsidR="00662D84" w:rsidRDefault="00FE4A1A" w:rsidP="00662D84">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r w:rsidRPr="00B76321">
        <w:rPr>
          <w:rFonts w:ascii="Times New Roman" w:hAnsi="Times New Roman" w:cs="Times New Roman"/>
          <w:sz w:val="24"/>
          <w:szCs w:val="24"/>
          <w:shd w:val="clear" w:color="auto" w:fill="FFFFFF"/>
        </w:rPr>
        <w:t xml:space="preserve">Chazi, A., &amp; Syed, L. A. (2010). Risk exposure during the global financial crisis: The case of </w:t>
      </w:r>
      <w:r w:rsidR="00852351">
        <w:rPr>
          <w:rFonts w:ascii="Times New Roman" w:hAnsi="Times New Roman" w:cs="Times New Roman"/>
          <w:sz w:val="24"/>
          <w:szCs w:val="24"/>
          <w:shd w:val="clear" w:color="auto" w:fill="FFFFFF"/>
        </w:rPr>
        <w:t>Islamic banks</w:t>
      </w:r>
      <w:r w:rsidRPr="00B76321">
        <w:rPr>
          <w:rFonts w:ascii="Times New Roman" w:hAnsi="Times New Roman" w:cs="Times New Roman"/>
          <w:sz w:val="24"/>
          <w:szCs w:val="24"/>
          <w:shd w:val="clear" w:color="auto" w:fill="FFFFFF"/>
        </w:rPr>
        <w:t>.</w:t>
      </w:r>
      <w:r w:rsidRPr="00B76321">
        <w:rPr>
          <w:rFonts w:ascii="Times New Roman" w:hAnsi="Times New Roman" w:cs="Times New Roman"/>
          <w:sz w:val="24"/>
          <w:szCs w:val="24"/>
        </w:rPr>
        <w:t> </w:t>
      </w:r>
      <w:r w:rsidRPr="00B76321">
        <w:rPr>
          <w:rFonts w:ascii="Times New Roman" w:hAnsi="Times New Roman" w:cs="Times New Roman"/>
          <w:i/>
          <w:sz w:val="24"/>
          <w:szCs w:val="24"/>
          <w:shd w:val="clear" w:color="auto" w:fill="FFFFFF"/>
        </w:rPr>
        <w:t>International Journal of Islamic and Middle Eastern Finance and Management</w:t>
      </w:r>
      <w:r w:rsidRPr="00B76321">
        <w:rPr>
          <w:rFonts w:ascii="Times New Roman" w:hAnsi="Times New Roman" w:cs="Times New Roman"/>
          <w:sz w:val="24"/>
          <w:szCs w:val="24"/>
          <w:shd w:val="clear" w:color="auto" w:fill="FFFFFF"/>
        </w:rPr>
        <w:t>,</w:t>
      </w:r>
      <w:r w:rsidRPr="00B76321">
        <w:rPr>
          <w:rFonts w:ascii="Times New Roman" w:hAnsi="Times New Roman" w:cs="Times New Roman"/>
          <w:sz w:val="24"/>
          <w:szCs w:val="24"/>
        </w:rPr>
        <w:t> </w:t>
      </w:r>
      <w:r w:rsidRPr="00B76321">
        <w:rPr>
          <w:rFonts w:ascii="Times New Roman" w:hAnsi="Times New Roman" w:cs="Times New Roman"/>
          <w:i/>
          <w:sz w:val="24"/>
          <w:szCs w:val="24"/>
          <w:shd w:val="clear" w:color="auto" w:fill="FFFFFF"/>
        </w:rPr>
        <w:t>3</w:t>
      </w:r>
      <w:r w:rsidRPr="00B76321">
        <w:rPr>
          <w:rFonts w:ascii="Times New Roman" w:hAnsi="Times New Roman" w:cs="Times New Roman"/>
          <w:sz w:val="24"/>
          <w:szCs w:val="24"/>
          <w:shd w:val="clear" w:color="auto" w:fill="FFFFFF"/>
        </w:rPr>
        <w:t xml:space="preserve">(4), 321-333. doi: </w:t>
      </w:r>
      <w:hyperlink r:id="rId31" w:tooltip="DOI resolver for 10.1108/17538391011093261." w:history="1">
        <w:r w:rsidRPr="00B76321">
          <w:rPr>
            <w:rStyle w:val="Hyperlink"/>
            <w:rFonts w:ascii="Times New Roman" w:hAnsi="Times New Roman" w:cs="Times New Roman"/>
            <w:color w:val="auto"/>
            <w:sz w:val="24"/>
            <w:szCs w:val="24"/>
            <w:u w:val="none"/>
            <w:shd w:val="clear" w:color="auto" w:fill="FFFFFF"/>
          </w:rPr>
          <w:t>10.1108/17538391011093261</w:t>
        </w:r>
      </w:hyperlink>
    </w:p>
    <w:p w:rsidR="00662D84" w:rsidRDefault="00662D84" w:rsidP="00662D84">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p>
    <w:p w:rsidR="00662D84" w:rsidRDefault="00FE4A1A" w:rsidP="00662D84">
      <w:pPr>
        <w:autoSpaceDE w:val="0"/>
        <w:autoSpaceDN w:val="0"/>
        <w:adjustRightInd w:val="0"/>
        <w:spacing w:after="0" w:line="240" w:lineRule="auto"/>
        <w:ind w:left="720" w:hanging="720"/>
        <w:rPr>
          <w:rStyle w:val="apple-style-span"/>
          <w:rFonts w:ascii="Times New Roman" w:hAnsi="Times New Roman" w:cs="Times New Roman"/>
          <w:sz w:val="24"/>
          <w:szCs w:val="24"/>
          <w:shd w:val="clear" w:color="auto" w:fill="FFFFFF"/>
        </w:rPr>
      </w:pPr>
      <w:r w:rsidRPr="00B76321">
        <w:rPr>
          <w:rFonts w:ascii="Times New Roman" w:hAnsi="Times New Roman" w:cs="Times New Roman"/>
          <w:sz w:val="24"/>
          <w:szCs w:val="24"/>
          <w:shd w:val="clear" w:color="auto" w:fill="FFFFFF"/>
        </w:rPr>
        <w:t>El-Gamal, M. A. (2000).</w:t>
      </w:r>
      <w:r w:rsidRPr="00B76321">
        <w:rPr>
          <w:rStyle w:val="apple-converted-space"/>
          <w:rFonts w:ascii="Times New Roman" w:hAnsi="Times New Roman" w:cs="Times New Roman"/>
          <w:sz w:val="24"/>
          <w:szCs w:val="24"/>
          <w:shd w:val="clear" w:color="auto" w:fill="FFFFFF"/>
        </w:rPr>
        <w:t> </w:t>
      </w:r>
      <w:r w:rsidRPr="00B76321">
        <w:rPr>
          <w:rFonts w:ascii="Times New Roman" w:hAnsi="Times New Roman" w:cs="Times New Roman"/>
          <w:i/>
          <w:iCs/>
          <w:sz w:val="24"/>
          <w:szCs w:val="24"/>
          <w:shd w:val="clear" w:color="auto" w:fill="FFFFFF"/>
        </w:rPr>
        <w:t>A basic guide to contemporary Islamic banking and finance</w:t>
      </w:r>
      <w:r w:rsidRPr="00B76321">
        <w:rPr>
          <w:rFonts w:ascii="Times New Roman" w:hAnsi="Times New Roman" w:cs="Times New Roman"/>
          <w:sz w:val="24"/>
          <w:szCs w:val="24"/>
          <w:shd w:val="clear" w:color="auto" w:fill="FFFFFF"/>
        </w:rPr>
        <w:t xml:space="preserve">. Houston: Rice University. Retrieved from </w:t>
      </w:r>
      <w:hyperlink r:id="rId32" w:history="1">
        <w:r w:rsidRPr="00B76321">
          <w:rPr>
            <w:rStyle w:val="Hyperlink"/>
            <w:rFonts w:ascii="Times New Roman" w:hAnsi="Times New Roman" w:cs="Times New Roman"/>
            <w:color w:val="auto"/>
            <w:sz w:val="24"/>
            <w:szCs w:val="24"/>
            <w:u w:val="none"/>
            <w:shd w:val="clear" w:color="auto" w:fill="FFFFFF"/>
          </w:rPr>
          <w:t>http://www.lariba.com/dev/knowledge-center/islamic-banking-guide.pdf</w:t>
        </w:r>
      </w:hyperlink>
      <w:r w:rsidRPr="00B76321">
        <w:rPr>
          <w:rFonts w:ascii="Times New Roman" w:hAnsi="Times New Roman" w:cs="Times New Roman"/>
          <w:sz w:val="24"/>
          <w:szCs w:val="24"/>
          <w:shd w:val="clear" w:color="auto" w:fill="FFFFFF"/>
        </w:rPr>
        <w:t xml:space="preserve"> </w:t>
      </w:r>
    </w:p>
    <w:p w:rsidR="00662D84" w:rsidRDefault="00662D84" w:rsidP="00662D84">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p>
    <w:p w:rsidR="00D80F71" w:rsidRPr="00B76321" w:rsidRDefault="00D80F71" w:rsidP="00D80F71">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r w:rsidRPr="00B76321">
        <w:rPr>
          <w:rFonts w:ascii="Times New Roman" w:hAnsi="Times New Roman" w:cs="Times New Roman"/>
          <w:sz w:val="24"/>
          <w:szCs w:val="24"/>
          <w:shd w:val="clear" w:color="auto" w:fill="FFFFFF"/>
        </w:rPr>
        <w:t>Errico, L., &amp; Farahbaksh, M. (1998).</w:t>
      </w:r>
      <w:r w:rsidRPr="00B76321">
        <w:rPr>
          <w:rStyle w:val="apple-converted-space"/>
          <w:rFonts w:ascii="Times New Roman" w:hAnsi="Times New Roman" w:cs="Times New Roman"/>
          <w:sz w:val="24"/>
          <w:szCs w:val="24"/>
          <w:shd w:val="clear" w:color="auto" w:fill="FFFFFF"/>
        </w:rPr>
        <w:t> </w:t>
      </w:r>
      <w:r w:rsidRPr="00B76321">
        <w:rPr>
          <w:rFonts w:ascii="Times New Roman" w:hAnsi="Times New Roman" w:cs="Times New Roman"/>
          <w:iCs/>
          <w:sz w:val="24"/>
          <w:szCs w:val="24"/>
          <w:shd w:val="clear" w:color="auto" w:fill="FFFFFF"/>
        </w:rPr>
        <w:t>Islamic banking-issues in prudential regulations and supervision</w:t>
      </w:r>
      <w:r w:rsidRPr="00B76321">
        <w:rPr>
          <w:rFonts w:ascii="Times New Roman" w:hAnsi="Times New Roman" w:cs="Times New Roman"/>
          <w:sz w:val="24"/>
          <w:szCs w:val="24"/>
          <w:shd w:val="clear" w:color="auto" w:fill="FFFFFF"/>
        </w:rPr>
        <w:t xml:space="preserve">. </w:t>
      </w:r>
      <w:r w:rsidR="00FE4300" w:rsidRPr="00B76321">
        <w:rPr>
          <w:rFonts w:ascii="Times New Roman" w:hAnsi="Times New Roman" w:cs="Times New Roman"/>
          <w:i/>
          <w:sz w:val="24"/>
          <w:szCs w:val="24"/>
          <w:shd w:val="clear" w:color="auto" w:fill="FFFFFF"/>
        </w:rPr>
        <w:t>IMF Working Papers</w:t>
      </w:r>
      <w:r w:rsidR="00FE4300">
        <w:rPr>
          <w:rFonts w:ascii="Times New Roman" w:hAnsi="Times New Roman" w:cs="Times New Roman"/>
          <w:sz w:val="24"/>
          <w:szCs w:val="24"/>
          <w:shd w:val="clear" w:color="auto" w:fill="FFFFFF"/>
        </w:rPr>
        <w:t xml:space="preserve">, </w:t>
      </w:r>
      <w:r w:rsidR="00FE4300" w:rsidRPr="00FE4300">
        <w:rPr>
          <w:rFonts w:ascii="Times New Roman" w:hAnsi="Times New Roman" w:cs="Times New Roman"/>
          <w:i/>
          <w:sz w:val="24"/>
          <w:szCs w:val="24"/>
          <w:shd w:val="clear" w:color="auto" w:fill="FFFFFF"/>
        </w:rPr>
        <w:t>98</w:t>
      </w:r>
      <w:r w:rsidR="00FE4300">
        <w:rPr>
          <w:rFonts w:ascii="Times New Roman" w:hAnsi="Times New Roman" w:cs="Times New Roman"/>
          <w:sz w:val="24"/>
          <w:szCs w:val="24"/>
          <w:shd w:val="clear" w:color="auto" w:fill="FFFFFF"/>
        </w:rPr>
        <w:t>(30), 1-32.</w:t>
      </w:r>
      <w:r w:rsidRPr="00B76321">
        <w:rPr>
          <w:rFonts w:ascii="Times New Roman" w:hAnsi="Times New Roman" w:cs="Times New Roman"/>
          <w:sz w:val="24"/>
          <w:szCs w:val="24"/>
          <w:shd w:val="clear" w:color="auto" w:fill="FFFFFF"/>
        </w:rPr>
        <w:t xml:space="preserve"> Retrieved from </w:t>
      </w:r>
      <w:hyperlink r:id="rId33" w:history="1">
        <w:r w:rsidRPr="00B76321">
          <w:rPr>
            <w:rStyle w:val="Hyperlink"/>
            <w:rFonts w:ascii="Times New Roman" w:hAnsi="Times New Roman" w:cs="Times New Roman"/>
            <w:color w:val="auto"/>
            <w:sz w:val="24"/>
            <w:szCs w:val="24"/>
            <w:u w:val="none"/>
            <w:shd w:val="clear" w:color="auto" w:fill="FFFFFF"/>
          </w:rPr>
          <w:t>http://www.imf.org/external/pubs/ft/wp/wp9830.pdf</w:t>
        </w:r>
      </w:hyperlink>
      <w:r w:rsidRPr="00B76321">
        <w:rPr>
          <w:rFonts w:ascii="Times New Roman" w:hAnsi="Times New Roman" w:cs="Times New Roman"/>
          <w:sz w:val="24"/>
          <w:szCs w:val="24"/>
          <w:shd w:val="clear" w:color="auto" w:fill="FFFFFF"/>
        </w:rPr>
        <w:t xml:space="preserve"> </w:t>
      </w:r>
    </w:p>
    <w:p w:rsidR="00D80F71" w:rsidRPr="00B76321" w:rsidRDefault="00D80F71" w:rsidP="00D80F71">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p>
    <w:p w:rsidR="00662D84" w:rsidRDefault="00FE4A1A" w:rsidP="00662D84">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r w:rsidRPr="00B76321">
        <w:rPr>
          <w:rFonts w:ascii="Times New Roman" w:hAnsi="Times New Roman" w:cs="Times New Roman"/>
          <w:sz w:val="24"/>
          <w:szCs w:val="24"/>
          <w:shd w:val="clear" w:color="auto" w:fill="FFFFFF"/>
        </w:rPr>
        <w:t xml:space="preserve">Haron, S. (1996). Competition and other external determinants of the profitability of </w:t>
      </w:r>
      <w:r w:rsidR="00852351">
        <w:rPr>
          <w:rFonts w:ascii="Times New Roman" w:hAnsi="Times New Roman" w:cs="Times New Roman"/>
          <w:sz w:val="24"/>
          <w:szCs w:val="24"/>
          <w:shd w:val="clear" w:color="auto" w:fill="FFFFFF"/>
        </w:rPr>
        <w:t>Islamic banks</w:t>
      </w:r>
      <w:r w:rsidRPr="00B76321">
        <w:rPr>
          <w:rFonts w:ascii="Times New Roman" w:hAnsi="Times New Roman" w:cs="Times New Roman"/>
          <w:sz w:val="24"/>
          <w:szCs w:val="24"/>
          <w:shd w:val="clear" w:color="auto" w:fill="FFFFFF"/>
        </w:rPr>
        <w:t>.</w:t>
      </w:r>
      <w:r w:rsidRPr="00B76321">
        <w:rPr>
          <w:rFonts w:ascii="Times New Roman" w:hAnsi="Times New Roman" w:cs="Times New Roman"/>
          <w:sz w:val="24"/>
          <w:szCs w:val="24"/>
        </w:rPr>
        <w:t> </w:t>
      </w:r>
      <w:r w:rsidRPr="00B76321">
        <w:rPr>
          <w:rFonts w:ascii="Times New Roman" w:hAnsi="Times New Roman" w:cs="Times New Roman"/>
          <w:i/>
          <w:sz w:val="24"/>
          <w:szCs w:val="24"/>
          <w:shd w:val="clear" w:color="auto" w:fill="FFFFFF"/>
        </w:rPr>
        <w:t>Islamic Economic Studies</w:t>
      </w:r>
      <w:r w:rsidRPr="00B76321">
        <w:rPr>
          <w:rFonts w:ascii="Times New Roman" w:hAnsi="Times New Roman" w:cs="Times New Roman"/>
          <w:sz w:val="24"/>
          <w:szCs w:val="24"/>
          <w:shd w:val="clear" w:color="auto" w:fill="FFFFFF"/>
        </w:rPr>
        <w:t>,</w:t>
      </w:r>
      <w:r w:rsidRPr="00B76321">
        <w:rPr>
          <w:rFonts w:ascii="Times New Roman" w:hAnsi="Times New Roman" w:cs="Times New Roman"/>
          <w:sz w:val="24"/>
          <w:szCs w:val="24"/>
        </w:rPr>
        <w:t> </w:t>
      </w:r>
      <w:r w:rsidRPr="00B76321">
        <w:rPr>
          <w:rFonts w:ascii="Times New Roman" w:hAnsi="Times New Roman" w:cs="Times New Roman"/>
          <w:i/>
          <w:sz w:val="24"/>
          <w:szCs w:val="24"/>
          <w:shd w:val="clear" w:color="auto" w:fill="FFFFFF"/>
        </w:rPr>
        <w:t>4</w:t>
      </w:r>
      <w:r w:rsidRPr="00B76321">
        <w:rPr>
          <w:rFonts w:ascii="Times New Roman" w:hAnsi="Times New Roman" w:cs="Times New Roman"/>
          <w:sz w:val="24"/>
          <w:szCs w:val="24"/>
          <w:shd w:val="clear" w:color="auto" w:fill="FFFFFF"/>
        </w:rPr>
        <w:t xml:space="preserve">(1), 49-66. Retrieved from </w:t>
      </w:r>
    </w:p>
    <w:p w:rsidR="00662D84" w:rsidRDefault="00662D84" w:rsidP="00662D84">
      <w:pPr>
        <w:autoSpaceDE w:val="0"/>
        <w:autoSpaceDN w:val="0"/>
        <w:adjustRightInd w:val="0"/>
        <w:spacing w:after="0" w:line="240" w:lineRule="auto"/>
        <w:ind w:left="720" w:hanging="720"/>
        <w:rPr>
          <w:rFonts w:ascii="Times New Roman" w:hAnsi="Times New Roman" w:cs="Times New Roman"/>
          <w:sz w:val="24"/>
          <w:szCs w:val="24"/>
        </w:rPr>
      </w:pPr>
    </w:p>
    <w:p w:rsidR="00662D84" w:rsidRDefault="00FE4A1A" w:rsidP="00662D84">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r w:rsidRPr="00B76321">
        <w:rPr>
          <w:rFonts w:ascii="Times New Roman" w:hAnsi="Times New Roman" w:cs="Times New Roman"/>
          <w:sz w:val="24"/>
          <w:szCs w:val="24"/>
          <w:shd w:val="clear" w:color="auto" w:fill="FFFFFF"/>
        </w:rPr>
        <w:t>Hasan, M., &amp; Dridi, J. (2010). The effects of the global crisis on Islamic and conventional banks: A comparative study.</w:t>
      </w:r>
      <w:r w:rsidRPr="00B76321">
        <w:rPr>
          <w:rFonts w:ascii="Times New Roman" w:hAnsi="Times New Roman" w:cs="Times New Roman"/>
          <w:sz w:val="24"/>
          <w:szCs w:val="24"/>
        </w:rPr>
        <w:t> </w:t>
      </w:r>
      <w:r w:rsidRPr="00B76321">
        <w:rPr>
          <w:rFonts w:ascii="Times New Roman" w:hAnsi="Times New Roman" w:cs="Times New Roman"/>
          <w:i/>
          <w:sz w:val="24"/>
          <w:szCs w:val="24"/>
          <w:shd w:val="clear" w:color="auto" w:fill="FFFFFF"/>
        </w:rPr>
        <w:t>IMF Working Papers</w:t>
      </w:r>
      <w:r w:rsidRPr="00B76321">
        <w:rPr>
          <w:rFonts w:ascii="Times New Roman" w:hAnsi="Times New Roman" w:cs="Times New Roman"/>
          <w:sz w:val="24"/>
          <w:szCs w:val="24"/>
          <w:shd w:val="clear" w:color="auto" w:fill="FFFFFF"/>
        </w:rPr>
        <w:t xml:space="preserve">, </w:t>
      </w:r>
      <w:r w:rsidRPr="00B76321">
        <w:rPr>
          <w:rFonts w:ascii="Times New Roman" w:hAnsi="Times New Roman" w:cs="Times New Roman"/>
          <w:i/>
          <w:sz w:val="24"/>
          <w:szCs w:val="24"/>
          <w:shd w:val="clear" w:color="auto" w:fill="FFFFFF"/>
        </w:rPr>
        <w:t>10</w:t>
      </w:r>
      <w:r w:rsidRPr="00B76321">
        <w:rPr>
          <w:rFonts w:ascii="Times New Roman" w:hAnsi="Times New Roman" w:cs="Times New Roman"/>
          <w:sz w:val="24"/>
          <w:szCs w:val="24"/>
          <w:shd w:val="clear" w:color="auto" w:fill="FFFFFF"/>
        </w:rPr>
        <w:t xml:space="preserve">(201), 1-46. Retrieved from </w:t>
      </w:r>
      <w:hyperlink r:id="rId34" w:history="1">
        <w:r w:rsidRPr="00B76321">
          <w:rPr>
            <w:rStyle w:val="Hyperlink"/>
            <w:rFonts w:ascii="Times New Roman" w:hAnsi="Times New Roman" w:cs="Times New Roman"/>
            <w:color w:val="auto"/>
            <w:sz w:val="24"/>
            <w:szCs w:val="24"/>
            <w:u w:val="none"/>
            <w:shd w:val="clear" w:color="auto" w:fill="FFFFFF"/>
          </w:rPr>
          <w:t>http://papers.ssrn.com/sol3/papers.cfm?abstract_id=1750689</w:t>
        </w:r>
      </w:hyperlink>
      <w:r w:rsidRPr="00B76321">
        <w:rPr>
          <w:rFonts w:ascii="Times New Roman" w:hAnsi="Times New Roman" w:cs="Times New Roman"/>
          <w:sz w:val="24"/>
          <w:szCs w:val="24"/>
          <w:shd w:val="clear" w:color="auto" w:fill="FFFFFF"/>
        </w:rPr>
        <w:t xml:space="preserve"> </w:t>
      </w:r>
    </w:p>
    <w:p w:rsidR="00662D84" w:rsidRDefault="00662D84" w:rsidP="00662D84">
      <w:pPr>
        <w:autoSpaceDE w:val="0"/>
        <w:autoSpaceDN w:val="0"/>
        <w:adjustRightInd w:val="0"/>
        <w:spacing w:after="0" w:line="240" w:lineRule="auto"/>
        <w:ind w:left="720" w:hanging="720"/>
        <w:rPr>
          <w:rFonts w:ascii="Times New Roman" w:hAnsi="Times New Roman" w:cs="Times New Roman"/>
          <w:sz w:val="24"/>
          <w:szCs w:val="24"/>
        </w:rPr>
      </w:pPr>
    </w:p>
    <w:p w:rsidR="00D80F71" w:rsidRPr="00B76321" w:rsidRDefault="00D80F71" w:rsidP="00D80F71">
      <w:pPr>
        <w:autoSpaceDE w:val="0"/>
        <w:autoSpaceDN w:val="0"/>
        <w:adjustRightInd w:val="0"/>
        <w:spacing w:after="0" w:line="240" w:lineRule="auto"/>
        <w:ind w:left="720" w:hanging="720"/>
        <w:rPr>
          <w:rFonts w:ascii="Times New Roman" w:hAnsi="Times New Roman" w:cs="Times New Roman"/>
          <w:sz w:val="24"/>
          <w:szCs w:val="24"/>
        </w:rPr>
      </w:pPr>
      <w:r w:rsidRPr="00B76321">
        <w:rPr>
          <w:rFonts w:ascii="Times New Roman" w:hAnsi="Times New Roman" w:cs="Times New Roman"/>
          <w:sz w:val="24"/>
          <w:szCs w:val="24"/>
        </w:rPr>
        <w:t xml:space="preserve">Hassan, M. K., &amp; Bashir, A.-H. M. (2003, December). </w:t>
      </w:r>
      <w:r w:rsidRPr="00B76321">
        <w:rPr>
          <w:rFonts w:ascii="Times New Roman" w:hAnsi="Times New Roman" w:cs="Times New Roman"/>
          <w:i/>
          <w:iCs/>
          <w:sz w:val="24"/>
          <w:szCs w:val="24"/>
        </w:rPr>
        <w:t>Determinants of Islamic Banking Profitability</w:t>
      </w:r>
      <w:r w:rsidRPr="00B76321">
        <w:rPr>
          <w:rFonts w:ascii="Times New Roman" w:hAnsi="Times New Roman" w:cs="Times New Roman"/>
          <w:sz w:val="24"/>
          <w:szCs w:val="24"/>
        </w:rPr>
        <w:t xml:space="preserve">. Paper presented at the 10th ERF Annual Conference. Retrieved from </w:t>
      </w:r>
      <w:hyperlink r:id="rId35" w:history="1">
        <w:r w:rsidRPr="00B76321">
          <w:rPr>
            <w:rStyle w:val="Hyperlink"/>
            <w:rFonts w:ascii="Times New Roman" w:hAnsi="Times New Roman" w:cs="Times New Roman"/>
            <w:color w:val="auto"/>
            <w:sz w:val="24"/>
            <w:szCs w:val="24"/>
            <w:u w:val="none"/>
          </w:rPr>
          <w:t>http://nzibo.com/IB2/Determinants.pdf</w:t>
        </w:r>
      </w:hyperlink>
      <w:r w:rsidRPr="00B76321">
        <w:rPr>
          <w:rFonts w:ascii="Times New Roman" w:hAnsi="Times New Roman" w:cs="Times New Roman"/>
          <w:sz w:val="24"/>
          <w:szCs w:val="24"/>
        </w:rPr>
        <w:t xml:space="preserve">  </w:t>
      </w:r>
    </w:p>
    <w:p w:rsidR="00D80F71" w:rsidRPr="00B76321" w:rsidRDefault="00D80F71" w:rsidP="00D80F71">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p>
    <w:p w:rsidR="00662D84" w:rsidRDefault="00FE4A1A" w:rsidP="00662D84">
      <w:pPr>
        <w:autoSpaceDE w:val="0"/>
        <w:autoSpaceDN w:val="0"/>
        <w:adjustRightInd w:val="0"/>
        <w:spacing w:after="0" w:line="240" w:lineRule="auto"/>
        <w:ind w:left="720" w:hanging="720"/>
        <w:rPr>
          <w:rFonts w:ascii="Times New Roman" w:hAnsi="Times New Roman" w:cs="Times New Roman"/>
          <w:sz w:val="24"/>
          <w:szCs w:val="24"/>
        </w:rPr>
      </w:pPr>
      <w:r w:rsidRPr="00B76321">
        <w:rPr>
          <w:rFonts w:ascii="Times New Roman" w:hAnsi="Times New Roman" w:cs="Times New Roman"/>
          <w:sz w:val="24"/>
          <w:szCs w:val="24"/>
        </w:rPr>
        <w:t xml:space="preserve">Hidayat, S. E., &amp; Abduh, M. (2012). Does financial crisis give impacts on Bahrain Islamic banking performance? A panel regression analysis. </w:t>
      </w:r>
      <w:r w:rsidRPr="00B76321">
        <w:rPr>
          <w:rFonts w:ascii="Times New Roman" w:hAnsi="Times New Roman" w:cs="Times New Roman"/>
          <w:i/>
          <w:iCs/>
          <w:sz w:val="24"/>
          <w:szCs w:val="24"/>
        </w:rPr>
        <w:t>International Journal of Economics and Finance, 4</w:t>
      </w:r>
      <w:r w:rsidRPr="00B76321">
        <w:rPr>
          <w:rFonts w:ascii="Times New Roman" w:hAnsi="Times New Roman" w:cs="Times New Roman"/>
          <w:sz w:val="24"/>
          <w:szCs w:val="24"/>
        </w:rPr>
        <w:t>(7), 79-87. doi:10.5539/ijef.v4n7p79</w:t>
      </w:r>
    </w:p>
    <w:p w:rsidR="00662D84" w:rsidRDefault="00662D84" w:rsidP="00662D84">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p>
    <w:p w:rsidR="00662D84" w:rsidRDefault="00FE4A1A" w:rsidP="00662D84">
      <w:pPr>
        <w:autoSpaceDE w:val="0"/>
        <w:autoSpaceDN w:val="0"/>
        <w:adjustRightInd w:val="0"/>
        <w:spacing w:after="0" w:line="240" w:lineRule="auto"/>
        <w:ind w:left="720" w:hanging="720"/>
        <w:rPr>
          <w:rFonts w:ascii="Times New Roman" w:hAnsi="Times New Roman" w:cs="Times New Roman"/>
          <w:sz w:val="24"/>
          <w:szCs w:val="24"/>
        </w:rPr>
      </w:pPr>
      <w:r w:rsidRPr="00B76321">
        <w:rPr>
          <w:rFonts w:ascii="Times New Roman" w:hAnsi="Times New Roman" w:cs="Times New Roman"/>
          <w:sz w:val="24"/>
          <w:szCs w:val="24"/>
          <w:shd w:val="clear" w:color="auto" w:fill="FFFFFF"/>
        </w:rPr>
        <w:t xml:space="preserve">Hussain, K. &amp; Mehboob, F. (2008). Hedging market risk in Islamic finance. </w:t>
      </w:r>
      <w:r w:rsidRPr="00B76321">
        <w:rPr>
          <w:rFonts w:ascii="Times New Roman" w:hAnsi="Times New Roman" w:cs="Times New Roman"/>
          <w:i/>
          <w:sz w:val="24"/>
          <w:szCs w:val="24"/>
          <w:shd w:val="clear" w:color="auto" w:fill="FFFFFF"/>
        </w:rPr>
        <w:t>World Commerce Review</w:t>
      </w:r>
      <w:r w:rsidRPr="00B76321">
        <w:rPr>
          <w:rFonts w:ascii="Times New Roman" w:hAnsi="Times New Roman" w:cs="Times New Roman"/>
          <w:sz w:val="24"/>
          <w:szCs w:val="24"/>
          <w:shd w:val="clear" w:color="auto" w:fill="FFFFFF"/>
        </w:rPr>
        <w:t xml:space="preserve">. 1-3. Retrieved from </w:t>
      </w:r>
      <w:hyperlink r:id="rId36" w:history="1">
        <w:r w:rsidRPr="00B76321">
          <w:rPr>
            <w:rStyle w:val="Hyperlink"/>
            <w:rFonts w:ascii="Times New Roman" w:hAnsi="Times New Roman" w:cs="Times New Roman"/>
            <w:color w:val="auto"/>
            <w:sz w:val="24"/>
            <w:szCs w:val="24"/>
            <w:u w:val="none"/>
            <w:shd w:val="clear" w:color="auto" w:fill="FFFFFF"/>
          </w:rPr>
          <w:t>http://www.worldcommercereview.com/publications/article_pdf/105</w:t>
        </w:r>
      </w:hyperlink>
    </w:p>
    <w:p w:rsidR="00662D84" w:rsidRDefault="00662D84" w:rsidP="00662D84">
      <w:pPr>
        <w:autoSpaceDE w:val="0"/>
        <w:autoSpaceDN w:val="0"/>
        <w:adjustRightInd w:val="0"/>
        <w:spacing w:after="0" w:line="240" w:lineRule="auto"/>
        <w:ind w:left="720" w:hanging="720"/>
        <w:rPr>
          <w:rFonts w:ascii="Times New Roman" w:hAnsi="Times New Roman" w:cs="Times New Roman"/>
          <w:sz w:val="24"/>
          <w:szCs w:val="24"/>
        </w:rPr>
      </w:pPr>
    </w:p>
    <w:p w:rsidR="00662D84" w:rsidRDefault="00FE4A1A" w:rsidP="00662D84">
      <w:pPr>
        <w:autoSpaceDE w:val="0"/>
        <w:autoSpaceDN w:val="0"/>
        <w:adjustRightInd w:val="0"/>
        <w:spacing w:after="0" w:line="240" w:lineRule="auto"/>
        <w:ind w:left="720" w:hanging="720"/>
        <w:rPr>
          <w:rFonts w:ascii="Times New Roman" w:hAnsi="Times New Roman" w:cs="Times New Roman"/>
          <w:sz w:val="24"/>
          <w:szCs w:val="24"/>
        </w:rPr>
      </w:pPr>
      <w:r w:rsidRPr="00B76321">
        <w:rPr>
          <w:rFonts w:ascii="Times New Roman" w:hAnsi="Times New Roman" w:cs="Times New Roman"/>
          <w:sz w:val="24"/>
          <w:szCs w:val="24"/>
        </w:rPr>
        <w:t>Idris, A. R., Asari, F. F. A. H., Taufik</w:t>
      </w:r>
      <w:r w:rsidR="00F40DB5">
        <w:rPr>
          <w:rFonts w:ascii="Times New Roman" w:hAnsi="Times New Roman" w:cs="Times New Roman"/>
          <w:sz w:val="24"/>
          <w:szCs w:val="24"/>
        </w:rPr>
        <w:t>, N.</w:t>
      </w:r>
      <w:r w:rsidR="00D80F71">
        <w:rPr>
          <w:rFonts w:ascii="Times New Roman" w:hAnsi="Times New Roman" w:cs="Times New Roman"/>
          <w:sz w:val="24"/>
          <w:szCs w:val="24"/>
        </w:rPr>
        <w:t xml:space="preserve"> </w:t>
      </w:r>
      <w:r w:rsidR="00F40DB5">
        <w:rPr>
          <w:rFonts w:ascii="Times New Roman" w:hAnsi="Times New Roman" w:cs="Times New Roman"/>
          <w:sz w:val="24"/>
          <w:szCs w:val="24"/>
        </w:rPr>
        <w:t>A.</w:t>
      </w:r>
      <w:r w:rsidR="00D80F71">
        <w:rPr>
          <w:rFonts w:ascii="Times New Roman" w:hAnsi="Times New Roman" w:cs="Times New Roman"/>
          <w:sz w:val="24"/>
          <w:szCs w:val="24"/>
        </w:rPr>
        <w:t xml:space="preserve"> </w:t>
      </w:r>
      <w:r w:rsidR="00F40DB5">
        <w:rPr>
          <w:rFonts w:ascii="Times New Roman" w:hAnsi="Times New Roman" w:cs="Times New Roman"/>
          <w:sz w:val="24"/>
          <w:szCs w:val="24"/>
        </w:rPr>
        <w:t>A.</w:t>
      </w:r>
      <w:r w:rsidRPr="00B76321">
        <w:rPr>
          <w:rFonts w:ascii="Times New Roman" w:hAnsi="Times New Roman" w:cs="Times New Roman"/>
          <w:sz w:val="24"/>
          <w:szCs w:val="24"/>
        </w:rPr>
        <w:t xml:space="preserve">, Salim, N. J., Mustaffa, R., &amp; Jusoff, K. (2011). Determinant of Islamic banking institutions’ profitability in Malaysia. </w:t>
      </w:r>
      <w:r w:rsidRPr="00B76321">
        <w:rPr>
          <w:rFonts w:ascii="Times New Roman" w:hAnsi="Times New Roman" w:cs="Times New Roman"/>
          <w:i/>
          <w:iCs/>
          <w:sz w:val="24"/>
          <w:szCs w:val="24"/>
        </w:rPr>
        <w:t>World Applied Sciences Journal, 12</w:t>
      </w:r>
      <w:r w:rsidRPr="00B76321">
        <w:rPr>
          <w:rFonts w:ascii="Times New Roman" w:hAnsi="Times New Roman" w:cs="Times New Roman"/>
          <w:sz w:val="24"/>
          <w:szCs w:val="24"/>
        </w:rPr>
        <w:t xml:space="preserve">, 1-7. </w:t>
      </w:r>
    </w:p>
    <w:p w:rsidR="00FE4300" w:rsidRDefault="00FE4300" w:rsidP="00662D84">
      <w:pPr>
        <w:autoSpaceDE w:val="0"/>
        <w:autoSpaceDN w:val="0"/>
        <w:adjustRightInd w:val="0"/>
        <w:spacing w:after="0" w:line="240" w:lineRule="auto"/>
        <w:ind w:left="720" w:hanging="720"/>
        <w:rPr>
          <w:rFonts w:ascii="Times New Roman" w:hAnsi="Times New Roman" w:cs="Times New Roman"/>
          <w:sz w:val="24"/>
          <w:szCs w:val="24"/>
        </w:rPr>
      </w:pPr>
    </w:p>
    <w:p w:rsidR="00662D84" w:rsidRDefault="00FE4A1A" w:rsidP="00662D84">
      <w:pPr>
        <w:autoSpaceDE w:val="0"/>
        <w:autoSpaceDN w:val="0"/>
        <w:adjustRightInd w:val="0"/>
        <w:spacing w:after="0" w:line="240" w:lineRule="auto"/>
        <w:ind w:left="720" w:hanging="720"/>
        <w:rPr>
          <w:rFonts w:ascii="Times New Roman" w:hAnsi="Times New Roman" w:cs="Times New Roman"/>
          <w:sz w:val="24"/>
          <w:szCs w:val="24"/>
        </w:rPr>
      </w:pPr>
      <w:r w:rsidRPr="00B76321">
        <w:rPr>
          <w:rFonts w:ascii="Times New Roman" w:hAnsi="Times New Roman" w:cs="Times New Roman"/>
          <w:sz w:val="24"/>
          <w:szCs w:val="24"/>
        </w:rPr>
        <w:t xml:space="preserve">Ilias, S. (2008). </w:t>
      </w:r>
      <w:r w:rsidRPr="00B76321">
        <w:rPr>
          <w:rFonts w:ascii="Times New Roman" w:hAnsi="Times New Roman" w:cs="Times New Roman"/>
          <w:i/>
          <w:sz w:val="24"/>
          <w:szCs w:val="24"/>
        </w:rPr>
        <w:t>Islamic finance: Overview and policy concerns</w:t>
      </w:r>
      <w:r w:rsidRPr="00B76321">
        <w:rPr>
          <w:rFonts w:ascii="Times New Roman" w:hAnsi="Times New Roman" w:cs="Times New Roman"/>
          <w:sz w:val="24"/>
          <w:szCs w:val="24"/>
        </w:rPr>
        <w:t xml:space="preserve">. Washington, DC: The Library of Congress. Retrieved from </w:t>
      </w:r>
      <w:hyperlink r:id="rId37" w:history="1">
        <w:r w:rsidRPr="00B76321">
          <w:rPr>
            <w:rStyle w:val="Hyperlink"/>
            <w:rFonts w:ascii="Times New Roman" w:hAnsi="Times New Roman" w:cs="Times New Roman"/>
            <w:color w:val="auto"/>
            <w:sz w:val="24"/>
            <w:szCs w:val="24"/>
            <w:u w:val="none"/>
          </w:rPr>
          <w:t>http://www.dtic.mil/cgi-bin/GetTRDoc?Location=U2&amp;doc=GetTRDoc.pdf&amp;AD=ADA484714</w:t>
        </w:r>
      </w:hyperlink>
      <w:r w:rsidRPr="00B76321">
        <w:rPr>
          <w:rFonts w:ascii="Times New Roman" w:hAnsi="Times New Roman" w:cs="Times New Roman"/>
          <w:sz w:val="24"/>
          <w:szCs w:val="24"/>
        </w:rPr>
        <w:t xml:space="preserve"> </w:t>
      </w:r>
    </w:p>
    <w:p w:rsidR="00662D84" w:rsidRDefault="00662D84" w:rsidP="00662D84">
      <w:pPr>
        <w:autoSpaceDE w:val="0"/>
        <w:autoSpaceDN w:val="0"/>
        <w:adjustRightInd w:val="0"/>
        <w:spacing w:after="0" w:line="240" w:lineRule="auto"/>
        <w:ind w:left="720" w:hanging="720"/>
        <w:rPr>
          <w:rFonts w:ascii="Times New Roman" w:hAnsi="Times New Roman" w:cs="Times New Roman"/>
          <w:sz w:val="24"/>
          <w:szCs w:val="24"/>
        </w:rPr>
      </w:pPr>
    </w:p>
    <w:p w:rsidR="00662D84" w:rsidRDefault="00FE4A1A" w:rsidP="00662D84">
      <w:pPr>
        <w:autoSpaceDE w:val="0"/>
        <w:autoSpaceDN w:val="0"/>
        <w:adjustRightInd w:val="0"/>
        <w:spacing w:after="0" w:line="240" w:lineRule="auto"/>
        <w:ind w:left="720" w:hanging="720"/>
        <w:rPr>
          <w:rFonts w:ascii="Times New Roman" w:hAnsi="Times New Roman" w:cs="Times New Roman"/>
          <w:sz w:val="24"/>
          <w:szCs w:val="24"/>
        </w:rPr>
      </w:pPr>
      <w:r w:rsidRPr="00B76321">
        <w:rPr>
          <w:rFonts w:ascii="Times New Roman" w:hAnsi="Times New Roman" w:cs="Times New Roman"/>
          <w:sz w:val="24"/>
          <w:szCs w:val="24"/>
        </w:rPr>
        <w:t>Karim, B. K., Mohamed Sami, B. A., &amp; Hichem, B.</w:t>
      </w:r>
      <w:r w:rsidR="00E06D3C">
        <w:rPr>
          <w:rFonts w:ascii="Times New Roman" w:hAnsi="Times New Roman" w:cs="Times New Roman"/>
          <w:sz w:val="24"/>
          <w:szCs w:val="24"/>
        </w:rPr>
        <w:t xml:space="preserve"> </w:t>
      </w:r>
      <w:r w:rsidRPr="00B76321">
        <w:rPr>
          <w:rFonts w:ascii="Times New Roman" w:hAnsi="Times New Roman" w:cs="Times New Roman"/>
          <w:sz w:val="24"/>
          <w:szCs w:val="24"/>
        </w:rPr>
        <w:t xml:space="preserve">K. (2010). Bank-specific, industry-specific and macroeconomic determinants of African </w:t>
      </w:r>
      <w:r w:rsidR="00852351">
        <w:rPr>
          <w:rFonts w:ascii="Times New Roman" w:hAnsi="Times New Roman" w:cs="Times New Roman"/>
          <w:sz w:val="24"/>
          <w:szCs w:val="24"/>
        </w:rPr>
        <w:t>Islamic banks</w:t>
      </w:r>
      <w:r w:rsidRPr="00B76321">
        <w:rPr>
          <w:rFonts w:ascii="Times New Roman" w:hAnsi="Times New Roman" w:cs="Times New Roman"/>
          <w:sz w:val="24"/>
          <w:szCs w:val="24"/>
        </w:rPr>
        <w:t xml:space="preserve">' profitability. </w:t>
      </w:r>
      <w:r w:rsidRPr="00B76321">
        <w:rPr>
          <w:rFonts w:ascii="Times New Roman" w:hAnsi="Times New Roman" w:cs="Times New Roman"/>
          <w:i/>
          <w:iCs/>
          <w:sz w:val="24"/>
          <w:szCs w:val="24"/>
        </w:rPr>
        <w:t>International Journal of Business and Management Science, 3</w:t>
      </w:r>
      <w:r w:rsidRPr="00B76321">
        <w:rPr>
          <w:rFonts w:ascii="Times New Roman" w:hAnsi="Times New Roman" w:cs="Times New Roman"/>
          <w:sz w:val="24"/>
          <w:szCs w:val="24"/>
        </w:rPr>
        <w:t xml:space="preserve">(1), 39-56. </w:t>
      </w:r>
    </w:p>
    <w:p w:rsidR="00662D84" w:rsidRDefault="00662D84" w:rsidP="00662D84">
      <w:pPr>
        <w:autoSpaceDE w:val="0"/>
        <w:autoSpaceDN w:val="0"/>
        <w:adjustRightInd w:val="0"/>
        <w:spacing w:after="0" w:line="240" w:lineRule="auto"/>
        <w:rPr>
          <w:rFonts w:ascii="Times New Roman" w:hAnsi="Times New Roman" w:cs="Times New Roman"/>
          <w:sz w:val="24"/>
          <w:szCs w:val="24"/>
          <w:shd w:val="clear" w:color="auto" w:fill="FFFFFF"/>
        </w:rPr>
      </w:pPr>
    </w:p>
    <w:p w:rsidR="00662D84" w:rsidRDefault="00FE4A1A" w:rsidP="00662D84">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r w:rsidRPr="00B418B5">
        <w:rPr>
          <w:rFonts w:ascii="Times New Roman" w:hAnsi="Times New Roman" w:cs="Times New Roman"/>
          <w:sz w:val="24"/>
          <w:szCs w:val="24"/>
          <w:shd w:val="clear" w:color="auto" w:fill="FFFFFF"/>
        </w:rPr>
        <w:t xml:space="preserve">Kassim, S. H., &amp; Majid, M. S. A. (2010). </w:t>
      </w:r>
      <w:r w:rsidRPr="00B76321">
        <w:rPr>
          <w:rFonts w:ascii="Times New Roman" w:hAnsi="Times New Roman" w:cs="Times New Roman"/>
          <w:sz w:val="24"/>
          <w:szCs w:val="24"/>
          <w:shd w:val="clear" w:color="auto" w:fill="FFFFFF"/>
        </w:rPr>
        <w:t xml:space="preserve">Impact of financial shocks on </w:t>
      </w:r>
      <w:r w:rsidR="00852351">
        <w:rPr>
          <w:rFonts w:ascii="Times New Roman" w:hAnsi="Times New Roman" w:cs="Times New Roman"/>
          <w:sz w:val="24"/>
          <w:szCs w:val="24"/>
          <w:shd w:val="clear" w:color="auto" w:fill="FFFFFF"/>
        </w:rPr>
        <w:t>Islamic banks</w:t>
      </w:r>
      <w:r w:rsidRPr="00B76321">
        <w:rPr>
          <w:rFonts w:ascii="Times New Roman" w:hAnsi="Times New Roman" w:cs="Times New Roman"/>
          <w:sz w:val="24"/>
          <w:szCs w:val="24"/>
          <w:shd w:val="clear" w:color="auto" w:fill="FFFFFF"/>
        </w:rPr>
        <w:t>: Malaysian evidence during 1997 and 2007 financial crises.</w:t>
      </w:r>
      <w:r w:rsidRPr="00B76321">
        <w:rPr>
          <w:rStyle w:val="apple-converted-space"/>
          <w:rFonts w:ascii="Times New Roman" w:hAnsi="Times New Roman" w:cs="Times New Roman"/>
          <w:sz w:val="24"/>
          <w:szCs w:val="24"/>
          <w:shd w:val="clear" w:color="auto" w:fill="FFFFFF"/>
        </w:rPr>
        <w:t> </w:t>
      </w:r>
      <w:r w:rsidRPr="00B76321">
        <w:rPr>
          <w:rFonts w:ascii="Times New Roman" w:hAnsi="Times New Roman" w:cs="Times New Roman"/>
          <w:i/>
          <w:iCs/>
          <w:sz w:val="24"/>
          <w:szCs w:val="24"/>
          <w:shd w:val="clear" w:color="auto" w:fill="FFFFFF"/>
        </w:rPr>
        <w:t>International Journal of Islamic and Middle Eastern Finance and Management</w:t>
      </w:r>
      <w:r w:rsidRPr="00B76321">
        <w:rPr>
          <w:rFonts w:ascii="Times New Roman" w:hAnsi="Times New Roman" w:cs="Times New Roman"/>
          <w:sz w:val="24"/>
          <w:szCs w:val="24"/>
          <w:shd w:val="clear" w:color="auto" w:fill="FFFFFF"/>
        </w:rPr>
        <w:t>,</w:t>
      </w:r>
      <w:r w:rsidRPr="00B76321">
        <w:rPr>
          <w:rStyle w:val="apple-converted-space"/>
          <w:rFonts w:ascii="Times New Roman" w:hAnsi="Times New Roman" w:cs="Times New Roman"/>
          <w:sz w:val="24"/>
          <w:szCs w:val="24"/>
          <w:shd w:val="clear" w:color="auto" w:fill="FFFFFF"/>
        </w:rPr>
        <w:t> </w:t>
      </w:r>
      <w:r w:rsidRPr="00B76321">
        <w:rPr>
          <w:rFonts w:ascii="Times New Roman" w:hAnsi="Times New Roman" w:cs="Times New Roman"/>
          <w:i/>
          <w:iCs/>
          <w:sz w:val="24"/>
          <w:szCs w:val="24"/>
          <w:shd w:val="clear" w:color="auto" w:fill="FFFFFF"/>
        </w:rPr>
        <w:t>3</w:t>
      </w:r>
      <w:r w:rsidRPr="00B76321">
        <w:rPr>
          <w:rFonts w:ascii="Times New Roman" w:hAnsi="Times New Roman" w:cs="Times New Roman"/>
          <w:sz w:val="24"/>
          <w:szCs w:val="24"/>
          <w:shd w:val="clear" w:color="auto" w:fill="FFFFFF"/>
        </w:rPr>
        <w:t xml:space="preserve">(4), 291-305. doi: </w:t>
      </w:r>
      <w:hyperlink r:id="rId38" w:tooltip="DOI resolver for 10.1108/17538391011093243." w:history="1">
        <w:r w:rsidRPr="00B76321">
          <w:rPr>
            <w:rStyle w:val="Hyperlink"/>
            <w:rFonts w:ascii="Times New Roman" w:hAnsi="Times New Roman" w:cs="Times New Roman"/>
            <w:color w:val="auto"/>
            <w:sz w:val="24"/>
            <w:szCs w:val="24"/>
            <w:u w:val="none"/>
            <w:shd w:val="clear" w:color="auto" w:fill="FFFFFF"/>
          </w:rPr>
          <w:t>10.1108/17538391011093243</w:t>
        </w:r>
      </w:hyperlink>
    </w:p>
    <w:p w:rsidR="00662D84" w:rsidRDefault="00662D84" w:rsidP="00662D84">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p>
    <w:p w:rsidR="00662D84" w:rsidRDefault="00FE4A1A" w:rsidP="00662D84">
      <w:pPr>
        <w:autoSpaceDE w:val="0"/>
        <w:autoSpaceDN w:val="0"/>
        <w:adjustRightInd w:val="0"/>
        <w:spacing w:after="0" w:line="240" w:lineRule="auto"/>
        <w:ind w:left="720" w:hanging="720"/>
        <w:rPr>
          <w:rFonts w:ascii="Times New Roman" w:hAnsi="Times New Roman" w:cs="Times New Roman"/>
          <w:sz w:val="24"/>
          <w:szCs w:val="24"/>
        </w:rPr>
      </w:pPr>
      <w:r w:rsidRPr="00B76321">
        <w:rPr>
          <w:rFonts w:ascii="Times New Roman" w:hAnsi="Times New Roman" w:cs="Times New Roman"/>
          <w:sz w:val="24"/>
          <w:szCs w:val="24"/>
          <w:shd w:val="clear" w:color="auto" w:fill="FFFFFF"/>
        </w:rPr>
        <w:t xml:space="preserve">Kok, Y. T., Tan, S. Y., Yong, M. S., &amp; Tan, K. W. </w:t>
      </w:r>
      <w:r w:rsidRPr="00B76321">
        <w:rPr>
          <w:rFonts w:ascii="Times New Roman" w:hAnsi="Times New Roman" w:cs="Times New Roman"/>
          <w:sz w:val="24"/>
          <w:szCs w:val="24"/>
        </w:rPr>
        <w:t xml:space="preserve">(2012). </w:t>
      </w:r>
      <w:r w:rsidRPr="00B76321">
        <w:rPr>
          <w:rFonts w:ascii="Times New Roman" w:hAnsi="Times New Roman" w:cs="Times New Roman"/>
          <w:i/>
          <w:iCs/>
          <w:sz w:val="24"/>
          <w:szCs w:val="24"/>
        </w:rPr>
        <w:t xml:space="preserve">The determinants of </w:t>
      </w:r>
      <w:r w:rsidR="00852351">
        <w:rPr>
          <w:rFonts w:ascii="Times New Roman" w:hAnsi="Times New Roman" w:cs="Times New Roman"/>
          <w:i/>
          <w:iCs/>
          <w:sz w:val="24"/>
          <w:szCs w:val="24"/>
        </w:rPr>
        <w:t>Islamic banks</w:t>
      </w:r>
      <w:r w:rsidRPr="00B76321">
        <w:rPr>
          <w:rFonts w:ascii="Times New Roman" w:hAnsi="Times New Roman" w:cs="Times New Roman"/>
          <w:i/>
          <w:iCs/>
          <w:sz w:val="24"/>
          <w:szCs w:val="24"/>
        </w:rPr>
        <w:t xml:space="preserve"> profitability in Malaysia.</w:t>
      </w:r>
      <w:r w:rsidRPr="00B76321">
        <w:rPr>
          <w:rFonts w:ascii="Times New Roman" w:hAnsi="Times New Roman" w:cs="Times New Roman"/>
          <w:sz w:val="24"/>
          <w:szCs w:val="24"/>
        </w:rPr>
        <w:t xml:space="preserve"> (Doctoral dissertation, University Tunku Abdul Rahman). Retrieved from </w:t>
      </w:r>
      <w:hyperlink r:id="rId39" w:history="1">
        <w:r w:rsidRPr="00B76321">
          <w:rPr>
            <w:rStyle w:val="Hyperlink"/>
            <w:rFonts w:ascii="Times New Roman" w:hAnsi="Times New Roman" w:cs="Times New Roman"/>
            <w:color w:val="auto"/>
            <w:sz w:val="24"/>
            <w:szCs w:val="24"/>
            <w:u w:val="none"/>
          </w:rPr>
          <w:t>http://eprints.utar.edu.my/583/1/BF-2012-0905796-1.pdf</w:t>
        </w:r>
      </w:hyperlink>
      <w:r w:rsidRPr="00B76321">
        <w:rPr>
          <w:rFonts w:ascii="Times New Roman" w:hAnsi="Times New Roman" w:cs="Times New Roman"/>
          <w:sz w:val="24"/>
          <w:szCs w:val="24"/>
        </w:rPr>
        <w:t xml:space="preserve">   </w:t>
      </w:r>
    </w:p>
    <w:p w:rsidR="00662D84" w:rsidRDefault="00662D84" w:rsidP="00662D84">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p>
    <w:p w:rsidR="00662D84" w:rsidRDefault="00FE4A1A" w:rsidP="00662D84">
      <w:pPr>
        <w:autoSpaceDE w:val="0"/>
        <w:autoSpaceDN w:val="0"/>
        <w:adjustRightInd w:val="0"/>
        <w:spacing w:after="0" w:line="240" w:lineRule="auto"/>
        <w:ind w:left="720" w:hanging="720"/>
        <w:rPr>
          <w:rFonts w:ascii="Times New Roman" w:hAnsi="Times New Roman" w:cs="Times New Roman"/>
          <w:sz w:val="24"/>
          <w:szCs w:val="24"/>
        </w:rPr>
      </w:pPr>
      <w:r w:rsidRPr="00B76321">
        <w:rPr>
          <w:rFonts w:ascii="Times New Roman" w:hAnsi="Times New Roman" w:cs="Times New Roman"/>
          <w:sz w:val="24"/>
          <w:szCs w:val="24"/>
        </w:rPr>
        <w:t xml:space="preserve">Miniaoui, H., &amp; Gohou, G. (2011, December). </w:t>
      </w:r>
      <w:r w:rsidRPr="00B76321">
        <w:rPr>
          <w:rFonts w:ascii="Times New Roman" w:hAnsi="Times New Roman" w:cs="Times New Roman"/>
          <w:i/>
          <w:iCs/>
          <w:sz w:val="24"/>
          <w:szCs w:val="24"/>
        </w:rPr>
        <w:t>Did the Islamic banking perform better during the financial crisis? Evidence from the UAE</w:t>
      </w:r>
      <w:r w:rsidRPr="00B76321">
        <w:rPr>
          <w:rFonts w:ascii="Times New Roman" w:hAnsi="Times New Roman" w:cs="Times New Roman"/>
          <w:sz w:val="24"/>
          <w:szCs w:val="24"/>
        </w:rPr>
        <w:t>. Paper presented at the International Conference on Management, Economics and Social Sciences, Bangkok. Retrieved from http://psrcentre.org/images/extraimages/1211937.pdf</w:t>
      </w:r>
    </w:p>
    <w:p w:rsidR="00662D84" w:rsidRDefault="00662D84" w:rsidP="00662D84">
      <w:pPr>
        <w:autoSpaceDE w:val="0"/>
        <w:autoSpaceDN w:val="0"/>
        <w:adjustRightInd w:val="0"/>
        <w:spacing w:after="0" w:line="240" w:lineRule="auto"/>
        <w:ind w:left="720" w:hanging="720"/>
        <w:rPr>
          <w:rFonts w:ascii="Times New Roman" w:hAnsi="Times New Roman" w:cs="Times New Roman"/>
          <w:sz w:val="24"/>
          <w:szCs w:val="24"/>
        </w:rPr>
      </w:pPr>
    </w:p>
    <w:p w:rsidR="00E06D3C" w:rsidRPr="00B76321" w:rsidRDefault="00E06D3C" w:rsidP="00E06D3C">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r w:rsidRPr="00B76321">
        <w:rPr>
          <w:rFonts w:ascii="Times New Roman" w:hAnsi="Times New Roman" w:cs="Times New Roman"/>
          <w:sz w:val="24"/>
          <w:szCs w:val="24"/>
          <w:shd w:val="clear" w:color="auto" w:fill="FFFFFF"/>
        </w:rPr>
        <w:t>Mohamad-Zaid, M.</w:t>
      </w:r>
      <w:r>
        <w:rPr>
          <w:rFonts w:ascii="Times New Roman" w:hAnsi="Times New Roman" w:cs="Times New Roman"/>
          <w:sz w:val="24"/>
          <w:szCs w:val="24"/>
          <w:shd w:val="clear" w:color="auto" w:fill="FFFFFF"/>
        </w:rPr>
        <w:t xml:space="preserve"> </w:t>
      </w:r>
      <w:r w:rsidRPr="00B76321">
        <w:rPr>
          <w:rFonts w:ascii="Times New Roman" w:hAnsi="Times New Roman" w:cs="Times New Roman"/>
          <w:sz w:val="24"/>
          <w:szCs w:val="24"/>
          <w:shd w:val="clear" w:color="auto" w:fill="FFFFFF"/>
        </w:rPr>
        <w:t>Z., Abdul-Kadir, A.</w:t>
      </w:r>
      <w:r>
        <w:rPr>
          <w:rFonts w:ascii="Times New Roman" w:hAnsi="Times New Roman" w:cs="Times New Roman"/>
          <w:sz w:val="24"/>
          <w:szCs w:val="24"/>
          <w:shd w:val="clear" w:color="auto" w:fill="FFFFFF"/>
        </w:rPr>
        <w:t xml:space="preserve"> </w:t>
      </w:r>
      <w:r w:rsidRPr="00B76321">
        <w:rPr>
          <w:rFonts w:ascii="Times New Roman" w:hAnsi="Times New Roman" w:cs="Times New Roman"/>
          <w:sz w:val="24"/>
          <w:szCs w:val="24"/>
          <w:shd w:val="clear" w:color="auto" w:fill="FFFFFF"/>
        </w:rPr>
        <w:t>R., Saurdi, I. &amp; Abdul-Latif, M.</w:t>
      </w:r>
      <w:r>
        <w:rPr>
          <w:rFonts w:ascii="Times New Roman" w:hAnsi="Times New Roman" w:cs="Times New Roman"/>
          <w:sz w:val="24"/>
          <w:szCs w:val="24"/>
          <w:shd w:val="clear" w:color="auto" w:fill="FFFFFF"/>
        </w:rPr>
        <w:t xml:space="preserve"> </w:t>
      </w:r>
      <w:r w:rsidRPr="00B76321">
        <w:rPr>
          <w:rFonts w:ascii="Times New Roman" w:hAnsi="Times New Roman" w:cs="Times New Roman"/>
          <w:sz w:val="24"/>
          <w:szCs w:val="24"/>
          <w:shd w:val="clear" w:color="auto" w:fill="FFFFFF"/>
        </w:rPr>
        <w:t xml:space="preserve">S. (2011). </w:t>
      </w:r>
      <w:r w:rsidRPr="00B76321">
        <w:rPr>
          <w:rFonts w:ascii="Times New Roman" w:hAnsi="Times New Roman" w:cs="Times New Roman"/>
          <w:i/>
          <w:sz w:val="24"/>
          <w:szCs w:val="24"/>
          <w:shd w:val="clear" w:color="auto" w:fill="FFFFFF"/>
        </w:rPr>
        <w:t>Growth and prospect of Islamic finance in Malaysia.</w:t>
      </w:r>
      <w:r w:rsidRPr="00B76321">
        <w:rPr>
          <w:rFonts w:ascii="Times New Roman" w:hAnsi="Times New Roman" w:cs="Times New Roman"/>
          <w:sz w:val="24"/>
          <w:szCs w:val="24"/>
          <w:shd w:val="clear" w:color="auto" w:fill="FFFFFF"/>
        </w:rPr>
        <w:t xml:space="preserve"> International Conference on Social Science and Humanity, IPEDR 5., IACSIT Press, Singapore</w:t>
      </w:r>
      <w:r>
        <w:rPr>
          <w:rFonts w:ascii="Times New Roman" w:hAnsi="Times New Roman" w:cs="Times New Roman"/>
          <w:sz w:val="24"/>
          <w:szCs w:val="24"/>
          <w:shd w:val="clear" w:color="auto" w:fill="FFFFFF"/>
        </w:rPr>
        <w:t>.</w:t>
      </w:r>
      <w:r w:rsidRPr="00B76321">
        <w:rPr>
          <w:rFonts w:ascii="Times New Roman" w:hAnsi="Times New Roman" w:cs="Times New Roman"/>
          <w:sz w:val="24"/>
          <w:szCs w:val="24"/>
          <w:shd w:val="clear" w:color="auto" w:fill="FFFFFF"/>
        </w:rPr>
        <w:t xml:space="preserve"> Retrieved from </w:t>
      </w:r>
      <w:hyperlink r:id="rId40" w:history="1">
        <w:r w:rsidRPr="00B76321">
          <w:rPr>
            <w:rFonts w:ascii="Times New Roman" w:hAnsi="Times New Roman" w:cs="Times New Roman"/>
            <w:sz w:val="24"/>
            <w:szCs w:val="24"/>
            <w:shd w:val="clear" w:color="auto" w:fill="FFFFFF"/>
          </w:rPr>
          <w:t>http://www.ipedr.com/vol5/no1/38-H00085.pdf</w:t>
        </w:r>
      </w:hyperlink>
      <w:r w:rsidRPr="00B76321">
        <w:rPr>
          <w:rFonts w:ascii="Times New Roman" w:hAnsi="Times New Roman" w:cs="Times New Roman"/>
          <w:sz w:val="24"/>
          <w:szCs w:val="24"/>
          <w:shd w:val="clear" w:color="auto" w:fill="FFFFFF"/>
        </w:rPr>
        <w:t xml:space="preserve"> </w:t>
      </w:r>
    </w:p>
    <w:p w:rsidR="00E06D3C" w:rsidRPr="00B76321" w:rsidRDefault="00E06D3C" w:rsidP="00E06D3C">
      <w:pPr>
        <w:autoSpaceDE w:val="0"/>
        <w:autoSpaceDN w:val="0"/>
        <w:adjustRightInd w:val="0"/>
        <w:spacing w:after="0" w:line="240" w:lineRule="auto"/>
        <w:ind w:left="720" w:hanging="720"/>
        <w:rPr>
          <w:rFonts w:ascii="Times New Roman" w:hAnsi="Times New Roman" w:cs="Times New Roman"/>
          <w:sz w:val="24"/>
          <w:szCs w:val="24"/>
        </w:rPr>
      </w:pPr>
    </w:p>
    <w:p w:rsidR="00662D84" w:rsidRDefault="00FE4A1A" w:rsidP="00662D84">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r w:rsidRPr="00B76321">
        <w:rPr>
          <w:rFonts w:ascii="Times New Roman" w:hAnsi="Times New Roman" w:cs="Times New Roman"/>
          <w:sz w:val="24"/>
          <w:szCs w:val="24"/>
        </w:rPr>
        <w:t xml:space="preserve">Naceur, S. B. (2003, October). </w:t>
      </w:r>
      <w:r w:rsidRPr="00B76321">
        <w:rPr>
          <w:rFonts w:ascii="Times New Roman" w:hAnsi="Times New Roman" w:cs="Times New Roman"/>
          <w:i/>
          <w:iCs/>
          <w:sz w:val="24"/>
          <w:szCs w:val="24"/>
        </w:rPr>
        <w:t>The determinants of the Tunisian banking industry profitability: Panel evidence</w:t>
      </w:r>
      <w:r w:rsidRPr="00B76321">
        <w:rPr>
          <w:rFonts w:ascii="Times New Roman" w:hAnsi="Times New Roman" w:cs="Times New Roman"/>
          <w:sz w:val="24"/>
          <w:szCs w:val="24"/>
        </w:rPr>
        <w:t xml:space="preserve">. Paper presented at the Research Forum (ERF) 10th Annual Conference, Marrakesh-Morocco. Retrieved from </w:t>
      </w:r>
      <w:hyperlink r:id="rId41" w:history="1">
        <w:r w:rsidRPr="00B76321">
          <w:rPr>
            <w:rStyle w:val="Hyperlink"/>
            <w:rFonts w:ascii="Times New Roman" w:hAnsi="Times New Roman" w:cs="Times New Roman"/>
            <w:color w:val="auto"/>
            <w:sz w:val="24"/>
            <w:szCs w:val="24"/>
            <w:u w:val="none"/>
          </w:rPr>
          <w:t>http://www.mafhoum.com/press6/174E11.pdf</w:t>
        </w:r>
      </w:hyperlink>
      <w:r w:rsidRPr="00B76321">
        <w:rPr>
          <w:rFonts w:ascii="Times New Roman" w:hAnsi="Times New Roman" w:cs="Times New Roman"/>
          <w:sz w:val="24"/>
          <w:szCs w:val="24"/>
        </w:rPr>
        <w:t xml:space="preserve"> </w:t>
      </w:r>
    </w:p>
    <w:p w:rsidR="00662D84" w:rsidRDefault="00662D84" w:rsidP="00662D84">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p>
    <w:p w:rsidR="00662D84" w:rsidRDefault="00FE4A1A" w:rsidP="00662D84">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r w:rsidRPr="00B76321">
        <w:rPr>
          <w:rFonts w:ascii="Times New Roman" w:hAnsi="Times New Roman" w:cs="Times New Roman"/>
          <w:sz w:val="24"/>
          <w:szCs w:val="24"/>
          <w:shd w:val="clear" w:color="auto" w:fill="FFFFFF"/>
        </w:rPr>
        <w:t xml:space="preserve">Parashar, S. &amp; Venkatesh, J. (2010). How did </w:t>
      </w:r>
      <w:r w:rsidR="00852351">
        <w:rPr>
          <w:rFonts w:ascii="Times New Roman" w:hAnsi="Times New Roman" w:cs="Times New Roman"/>
          <w:sz w:val="24"/>
          <w:szCs w:val="24"/>
          <w:shd w:val="clear" w:color="auto" w:fill="FFFFFF"/>
        </w:rPr>
        <w:t>Islamic banks</w:t>
      </w:r>
      <w:r w:rsidRPr="00B76321">
        <w:rPr>
          <w:rFonts w:ascii="Times New Roman" w:hAnsi="Times New Roman" w:cs="Times New Roman"/>
          <w:sz w:val="24"/>
          <w:szCs w:val="24"/>
          <w:shd w:val="clear" w:color="auto" w:fill="FFFFFF"/>
        </w:rPr>
        <w:t xml:space="preserve"> do during global financial crisis? </w:t>
      </w:r>
      <w:r w:rsidRPr="00B76321">
        <w:rPr>
          <w:rFonts w:ascii="Times New Roman" w:hAnsi="Times New Roman" w:cs="Times New Roman"/>
          <w:i/>
          <w:sz w:val="24"/>
          <w:szCs w:val="24"/>
          <w:shd w:val="clear" w:color="auto" w:fill="FFFFFF"/>
        </w:rPr>
        <w:t>Banks and Bank Systems</w:t>
      </w:r>
      <w:r w:rsidRPr="00B76321">
        <w:rPr>
          <w:rFonts w:ascii="Times New Roman" w:hAnsi="Times New Roman" w:cs="Times New Roman"/>
          <w:sz w:val="24"/>
          <w:szCs w:val="24"/>
          <w:shd w:val="clear" w:color="auto" w:fill="FFFFFF"/>
        </w:rPr>
        <w:t>,</w:t>
      </w:r>
      <w:r w:rsidRPr="00B76321">
        <w:rPr>
          <w:rFonts w:ascii="Times New Roman" w:hAnsi="Times New Roman" w:cs="Times New Roman"/>
          <w:sz w:val="24"/>
          <w:szCs w:val="24"/>
        </w:rPr>
        <w:t> </w:t>
      </w:r>
      <w:r w:rsidRPr="00B76321">
        <w:rPr>
          <w:rFonts w:ascii="Times New Roman" w:hAnsi="Times New Roman" w:cs="Times New Roman"/>
          <w:i/>
          <w:sz w:val="24"/>
          <w:szCs w:val="24"/>
          <w:shd w:val="clear" w:color="auto" w:fill="FFFFFF"/>
        </w:rPr>
        <w:t>5</w:t>
      </w:r>
      <w:r w:rsidRPr="00B76321">
        <w:rPr>
          <w:rFonts w:ascii="Times New Roman" w:hAnsi="Times New Roman" w:cs="Times New Roman"/>
          <w:sz w:val="24"/>
          <w:szCs w:val="24"/>
          <w:shd w:val="clear" w:color="auto" w:fill="FFFFFF"/>
        </w:rPr>
        <w:t xml:space="preserve">(4), 54-62. </w:t>
      </w:r>
    </w:p>
    <w:p w:rsidR="00662D84" w:rsidRDefault="00662D84" w:rsidP="00662D84">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p>
    <w:p w:rsidR="000C0947" w:rsidRPr="00B76321" w:rsidRDefault="000C0947" w:rsidP="000C0947">
      <w:pPr>
        <w:autoSpaceDE w:val="0"/>
        <w:autoSpaceDN w:val="0"/>
        <w:adjustRightInd w:val="0"/>
        <w:spacing w:after="0" w:line="240" w:lineRule="auto"/>
        <w:ind w:left="720" w:hanging="720"/>
        <w:rPr>
          <w:rFonts w:ascii="Times New Roman" w:hAnsi="Times New Roman" w:cs="Times New Roman"/>
          <w:sz w:val="24"/>
          <w:szCs w:val="24"/>
        </w:rPr>
      </w:pPr>
      <w:r w:rsidRPr="00B76321">
        <w:rPr>
          <w:rFonts w:ascii="Times New Roman" w:hAnsi="Times New Roman" w:cs="Times New Roman"/>
          <w:sz w:val="24"/>
          <w:szCs w:val="24"/>
          <w:shd w:val="clear" w:color="auto" w:fill="FFFFFF"/>
        </w:rPr>
        <w:t>Portela, M. C. A.</w:t>
      </w:r>
      <w:r>
        <w:rPr>
          <w:rFonts w:ascii="Times New Roman" w:hAnsi="Times New Roman" w:cs="Times New Roman"/>
          <w:sz w:val="24"/>
          <w:szCs w:val="24"/>
          <w:shd w:val="clear" w:color="auto" w:fill="FFFFFF"/>
        </w:rPr>
        <w:t xml:space="preserve"> S</w:t>
      </w:r>
      <w:r w:rsidRPr="00B76321">
        <w:rPr>
          <w:rFonts w:ascii="Times New Roman" w:hAnsi="Times New Roman" w:cs="Times New Roman"/>
          <w:sz w:val="24"/>
          <w:szCs w:val="24"/>
          <w:shd w:val="clear" w:color="auto" w:fill="FFFFFF"/>
        </w:rPr>
        <w:t>, &amp; Thanassoulis, E. (2005). Profitability of a sample of Portuguese bank branches and its decomposition into technical and allocative components.</w:t>
      </w:r>
      <w:r w:rsidRPr="00B76321">
        <w:rPr>
          <w:rStyle w:val="apple-converted-space"/>
          <w:rFonts w:ascii="Times New Roman" w:hAnsi="Times New Roman" w:cs="Times New Roman"/>
          <w:sz w:val="24"/>
          <w:szCs w:val="24"/>
          <w:shd w:val="clear" w:color="auto" w:fill="FFFFFF"/>
        </w:rPr>
        <w:t> </w:t>
      </w:r>
      <w:r w:rsidRPr="00B76321">
        <w:rPr>
          <w:rFonts w:ascii="Times New Roman" w:hAnsi="Times New Roman" w:cs="Times New Roman"/>
          <w:i/>
          <w:iCs/>
          <w:sz w:val="24"/>
          <w:szCs w:val="24"/>
          <w:shd w:val="clear" w:color="auto" w:fill="FFFFFF"/>
        </w:rPr>
        <w:t>European Journal of Operational Research</w:t>
      </w:r>
      <w:r w:rsidRPr="00B76321">
        <w:rPr>
          <w:rFonts w:ascii="Times New Roman" w:hAnsi="Times New Roman" w:cs="Times New Roman"/>
          <w:sz w:val="24"/>
          <w:szCs w:val="24"/>
          <w:shd w:val="clear" w:color="auto" w:fill="FFFFFF"/>
        </w:rPr>
        <w:t>,</w:t>
      </w:r>
      <w:r w:rsidRPr="00B76321">
        <w:rPr>
          <w:rStyle w:val="apple-converted-space"/>
          <w:rFonts w:ascii="Times New Roman" w:hAnsi="Times New Roman" w:cs="Times New Roman"/>
          <w:sz w:val="24"/>
          <w:szCs w:val="24"/>
          <w:shd w:val="clear" w:color="auto" w:fill="FFFFFF"/>
        </w:rPr>
        <w:t> </w:t>
      </w:r>
      <w:r w:rsidRPr="00B76321">
        <w:rPr>
          <w:rFonts w:ascii="Times New Roman" w:hAnsi="Times New Roman" w:cs="Times New Roman"/>
          <w:i/>
          <w:iCs/>
          <w:sz w:val="24"/>
          <w:szCs w:val="24"/>
          <w:shd w:val="clear" w:color="auto" w:fill="FFFFFF"/>
        </w:rPr>
        <w:t>162</w:t>
      </w:r>
      <w:r w:rsidRPr="00B76321">
        <w:rPr>
          <w:rFonts w:ascii="Times New Roman" w:hAnsi="Times New Roman" w:cs="Times New Roman"/>
          <w:sz w:val="24"/>
          <w:szCs w:val="24"/>
          <w:shd w:val="clear" w:color="auto" w:fill="FFFFFF"/>
        </w:rPr>
        <w:t>(3), 850-866</w:t>
      </w:r>
    </w:p>
    <w:p w:rsidR="000C0947" w:rsidRPr="00B76321" w:rsidRDefault="000C0947" w:rsidP="000C0947">
      <w:pPr>
        <w:autoSpaceDE w:val="0"/>
        <w:autoSpaceDN w:val="0"/>
        <w:adjustRightInd w:val="0"/>
        <w:spacing w:after="0" w:line="240" w:lineRule="auto"/>
        <w:ind w:left="720" w:hanging="720"/>
        <w:rPr>
          <w:rFonts w:ascii="Times New Roman" w:hAnsi="Times New Roman" w:cs="Times New Roman"/>
          <w:sz w:val="24"/>
          <w:szCs w:val="24"/>
        </w:rPr>
      </w:pPr>
    </w:p>
    <w:p w:rsidR="00662D84" w:rsidRDefault="00FE4A1A" w:rsidP="00662D84">
      <w:pPr>
        <w:autoSpaceDE w:val="0"/>
        <w:autoSpaceDN w:val="0"/>
        <w:adjustRightInd w:val="0"/>
        <w:spacing w:after="0" w:line="240" w:lineRule="auto"/>
        <w:ind w:left="720" w:hanging="720"/>
        <w:rPr>
          <w:rFonts w:ascii="Times New Roman" w:hAnsi="Times New Roman" w:cs="Times New Roman"/>
          <w:sz w:val="24"/>
          <w:szCs w:val="24"/>
        </w:rPr>
      </w:pPr>
      <w:r w:rsidRPr="00B76321">
        <w:rPr>
          <w:rFonts w:ascii="Times New Roman" w:hAnsi="Times New Roman" w:cs="Times New Roman"/>
          <w:sz w:val="24"/>
          <w:szCs w:val="24"/>
          <w:shd w:val="clear" w:color="auto" w:fill="FFFFFF"/>
        </w:rPr>
        <w:t>Short, B. K. (1979). The relation between commercial bank profit rates and banking concentration in Canada, Western Europe, and Japan.</w:t>
      </w:r>
      <w:r w:rsidRPr="00B76321">
        <w:rPr>
          <w:rStyle w:val="apple-converted-space"/>
          <w:rFonts w:ascii="Times New Roman" w:hAnsi="Times New Roman" w:cs="Times New Roman"/>
          <w:sz w:val="24"/>
          <w:szCs w:val="24"/>
          <w:shd w:val="clear" w:color="auto" w:fill="FFFFFF"/>
        </w:rPr>
        <w:t> </w:t>
      </w:r>
      <w:r w:rsidRPr="00B76321">
        <w:rPr>
          <w:rFonts w:ascii="Times New Roman" w:hAnsi="Times New Roman" w:cs="Times New Roman"/>
          <w:i/>
          <w:iCs/>
          <w:sz w:val="24"/>
          <w:szCs w:val="24"/>
          <w:shd w:val="clear" w:color="auto" w:fill="FFFFFF"/>
        </w:rPr>
        <w:t>Journal of Banking &amp; Finance</w:t>
      </w:r>
      <w:r w:rsidRPr="00B76321">
        <w:rPr>
          <w:rFonts w:ascii="Times New Roman" w:hAnsi="Times New Roman" w:cs="Times New Roman"/>
          <w:sz w:val="24"/>
          <w:szCs w:val="24"/>
          <w:shd w:val="clear" w:color="auto" w:fill="FFFFFF"/>
        </w:rPr>
        <w:t>,</w:t>
      </w:r>
      <w:r w:rsidRPr="00B76321">
        <w:rPr>
          <w:rStyle w:val="apple-converted-space"/>
          <w:rFonts w:ascii="Times New Roman" w:hAnsi="Times New Roman" w:cs="Times New Roman"/>
          <w:sz w:val="24"/>
          <w:szCs w:val="24"/>
          <w:shd w:val="clear" w:color="auto" w:fill="FFFFFF"/>
        </w:rPr>
        <w:t> </w:t>
      </w:r>
      <w:r w:rsidRPr="00B76321">
        <w:rPr>
          <w:rFonts w:ascii="Times New Roman" w:hAnsi="Times New Roman" w:cs="Times New Roman"/>
          <w:i/>
          <w:iCs/>
          <w:sz w:val="24"/>
          <w:szCs w:val="24"/>
          <w:shd w:val="clear" w:color="auto" w:fill="FFFFFF"/>
        </w:rPr>
        <w:t>3</w:t>
      </w:r>
      <w:r w:rsidRPr="00B76321">
        <w:rPr>
          <w:rFonts w:ascii="Times New Roman" w:hAnsi="Times New Roman" w:cs="Times New Roman"/>
          <w:sz w:val="24"/>
          <w:szCs w:val="24"/>
          <w:shd w:val="clear" w:color="auto" w:fill="FFFFFF"/>
        </w:rPr>
        <w:t>(3), 209-219.</w:t>
      </w:r>
      <w:r w:rsidRPr="00B76321">
        <w:rPr>
          <w:rFonts w:ascii="Times New Roman" w:hAnsi="Times New Roman" w:cs="Times New Roman"/>
          <w:sz w:val="24"/>
          <w:szCs w:val="24"/>
        </w:rPr>
        <w:t xml:space="preserve"> </w:t>
      </w:r>
    </w:p>
    <w:p w:rsidR="000C0947" w:rsidRDefault="000C0947" w:rsidP="00362F44">
      <w:pPr>
        <w:autoSpaceDE w:val="0"/>
        <w:autoSpaceDN w:val="0"/>
        <w:adjustRightInd w:val="0"/>
        <w:spacing w:after="0" w:line="240" w:lineRule="auto"/>
        <w:rPr>
          <w:rFonts w:ascii="Times New Roman" w:hAnsi="Times New Roman" w:cs="Times New Roman"/>
          <w:sz w:val="24"/>
          <w:szCs w:val="24"/>
          <w:shd w:val="clear" w:color="auto" w:fill="FFFFFF"/>
        </w:rPr>
      </w:pPr>
    </w:p>
    <w:p w:rsidR="00833AB6" w:rsidRPr="00B76321" w:rsidRDefault="00833AB6" w:rsidP="00833AB6">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r w:rsidRPr="00B76321">
        <w:rPr>
          <w:rFonts w:ascii="Times New Roman" w:hAnsi="Times New Roman" w:cs="Times New Roman"/>
          <w:sz w:val="24"/>
          <w:szCs w:val="24"/>
          <w:shd w:val="clear" w:color="auto" w:fill="FFFFFF"/>
        </w:rPr>
        <w:t>Siddiqi, M. N. (2006). Islamic banking and finance in theory and practice: A survey of the state of the art.</w:t>
      </w:r>
      <w:r w:rsidRPr="00B76321">
        <w:rPr>
          <w:rStyle w:val="apple-converted-space"/>
          <w:rFonts w:ascii="Times New Roman" w:hAnsi="Times New Roman" w:cs="Times New Roman"/>
          <w:sz w:val="24"/>
          <w:szCs w:val="24"/>
          <w:shd w:val="clear" w:color="auto" w:fill="FFFFFF"/>
        </w:rPr>
        <w:t> </w:t>
      </w:r>
      <w:r w:rsidRPr="00B76321">
        <w:rPr>
          <w:rFonts w:ascii="Times New Roman" w:hAnsi="Times New Roman" w:cs="Times New Roman"/>
          <w:i/>
          <w:iCs/>
          <w:sz w:val="24"/>
          <w:szCs w:val="24"/>
          <w:shd w:val="clear" w:color="auto" w:fill="FFFFFF"/>
        </w:rPr>
        <w:t>Islamic Economic Studies</w:t>
      </w:r>
      <w:r w:rsidRPr="00B76321">
        <w:rPr>
          <w:rFonts w:ascii="Times New Roman" w:hAnsi="Times New Roman" w:cs="Times New Roman"/>
          <w:sz w:val="24"/>
          <w:szCs w:val="24"/>
          <w:shd w:val="clear" w:color="auto" w:fill="FFFFFF"/>
        </w:rPr>
        <w:t>,</w:t>
      </w:r>
      <w:r w:rsidRPr="00B76321">
        <w:rPr>
          <w:rStyle w:val="apple-converted-space"/>
          <w:rFonts w:ascii="Times New Roman" w:hAnsi="Times New Roman" w:cs="Times New Roman"/>
          <w:sz w:val="24"/>
          <w:szCs w:val="24"/>
          <w:shd w:val="clear" w:color="auto" w:fill="FFFFFF"/>
        </w:rPr>
        <w:t> </w:t>
      </w:r>
      <w:r w:rsidRPr="00B76321">
        <w:rPr>
          <w:rFonts w:ascii="Times New Roman" w:hAnsi="Times New Roman" w:cs="Times New Roman"/>
          <w:i/>
          <w:iCs/>
          <w:sz w:val="24"/>
          <w:szCs w:val="24"/>
          <w:shd w:val="clear" w:color="auto" w:fill="FFFFFF"/>
        </w:rPr>
        <w:t>13</w:t>
      </w:r>
      <w:r w:rsidRPr="00B76321">
        <w:rPr>
          <w:rFonts w:ascii="Times New Roman" w:hAnsi="Times New Roman" w:cs="Times New Roman"/>
          <w:sz w:val="24"/>
          <w:szCs w:val="24"/>
          <w:shd w:val="clear" w:color="auto" w:fill="FFFFFF"/>
        </w:rPr>
        <w:t xml:space="preserve">(2), 1-48. </w:t>
      </w:r>
    </w:p>
    <w:p w:rsidR="00833AB6" w:rsidRPr="00B76321" w:rsidRDefault="00833AB6" w:rsidP="00833AB6">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p>
    <w:p w:rsidR="00662D84" w:rsidRDefault="00FE4A1A" w:rsidP="00662D84">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r w:rsidRPr="00B76321">
        <w:rPr>
          <w:rFonts w:ascii="Times New Roman" w:hAnsi="Times New Roman" w:cs="Times New Roman"/>
          <w:sz w:val="24"/>
          <w:szCs w:val="24"/>
          <w:shd w:val="clear" w:color="auto" w:fill="FFFFFF"/>
        </w:rPr>
        <w:t xml:space="preserve">Skinner, C. (2007). </w:t>
      </w:r>
      <w:r w:rsidRPr="00B76321">
        <w:rPr>
          <w:rFonts w:ascii="Times New Roman" w:hAnsi="Times New Roman" w:cs="Times New Roman"/>
          <w:i/>
          <w:sz w:val="24"/>
          <w:szCs w:val="24"/>
          <w:shd w:val="clear" w:color="auto" w:fill="FFFFFF"/>
        </w:rPr>
        <w:t>The future of banking in a globalised world</w:t>
      </w:r>
      <w:r w:rsidRPr="00B76321">
        <w:rPr>
          <w:rFonts w:ascii="Times New Roman" w:hAnsi="Times New Roman" w:cs="Times New Roman"/>
          <w:sz w:val="24"/>
          <w:szCs w:val="24"/>
          <w:shd w:val="clear" w:color="auto" w:fill="FFFFFF"/>
        </w:rPr>
        <w:t>. West Sussex, England: Wiley</w:t>
      </w:r>
      <w:r w:rsidR="00E06D3C">
        <w:rPr>
          <w:rFonts w:ascii="Times New Roman" w:hAnsi="Times New Roman" w:cs="Times New Roman"/>
          <w:sz w:val="24"/>
          <w:szCs w:val="24"/>
          <w:shd w:val="clear" w:color="auto" w:fill="FFFFFF"/>
        </w:rPr>
        <w:t>.</w:t>
      </w:r>
      <w:r w:rsidRPr="00B76321">
        <w:rPr>
          <w:rFonts w:ascii="Times New Roman" w:hAnsi="Times New Roman" w:cs="Times New Roman"/>
          <w:sz w:val="24"/>
          <w:szCs w:val="24"/>
          <w:shd w:val="clear" w:color="auto" w:fill="FFFFFF"/>
        </w:rPr>
        <w:t xml:space="preserve"> </w:t>
      </w:r>
    </w:p>
    <w:p w:rsidR="00662D84" w:rsidRDefault="00662D84" w:rsidP="00662D84">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p>
    <w:p w:rsidR="00662D84" w:rsidRDefault="00FE4A1A" w:rsidP="00662D84">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r w:rsidRPr="00B76321">
        <w:rPr>
          <w:rFonts w:ascii="Times New Roman" w:hAnsi="Times New Roman" w:cs="Times New Roman"/>
          <w:sz w:val="24"/>
          <w:szCs w:val="24"/>
          <w:shd w:val="clear" w:color="auto" w:fill="FFFFFF"/>
        </w:rPr>
        <w:t xml:space="preserve">Smaoui, H., &amp; Salah, I. B. (2012). Profitability of </w:t>
      </w:r>
      <w:r w:rsidR="00852351">
        <w:rPr>
          <w:rFonts w:ascii="Times New Roman" w:hAnsi="Times New Roman" w:cs="Times New Roman"/>
          <w:sz w:val="24"/>
          <w:szCs w:val="24"/>
          <w:shd w:val="clear" w:color="auto" w:fill="FFFFFF"/>
        </w:rPr>
        <w:t>Islamic banks</w:t>
      </w:r>
      <w:r w:rsidRPr="00B76321">
        <w:rPr>
          <w:rFonts w:ascii="Times New Roman" w:hAnsi="Times New Roman" w:cs="Times New Roman"/>
          <w:sz w:val="24"/>
          <w:szCs w:val="24"/>
          <w:shd w:val="clear" w:color="auto" w:fill="FFFFFF"/>
        </w:rPr>
        <w:t xml:space="preserve"> in the GCC region. </w:t>
      </w:r>
      <w:r w:rsidRPr="00B76321">
        <w:rPr>
          <w:rFonts w:ascii="Times New Roman" w:hAnsi="Times New Roman" w:cs="Times New Roman"/>
          <w:i/>
          <w:sz w:val="24"/>
          <w:szCs w:val="24"/>
          <w:shd w:val="clear" w:color="auto" w:fill="FFFFFF"/>
        </w:rPr>
        <w:t>Global Economy and Finance Journal</w:t>
      </w:r>
      <w:r w:rsidRPr="00B76321">
        <w:rPr>
          <w:rFonts w:ascii="Times New Roman" w:hAnsi="Times New Roman" w:cs="Times New Roman"/>
          <w:sz w:val="24"/>
          <w:szCs w:val="24"/>
          <w:shd w:val="clear" w:color="auto" w:fill="FFFFFF"/>
        </w:rPr>
        <w:t xml:space="preserve">, </w:t>
      </w:r>
      <w:r w:rsidRPr="00B76321">
        <w:rPr>
          <w:rFonts w:ascii="Times New Roman" w:hAnsi="Times New Roman" w:cs="Times New Roman"/>
          <w:i/>
          <w:sz w:val="24"/>
          <w:szCs w:val="24"/>
          <w:shd w:val="clear" w:color="auto" w:fill="FFFFFF"/>
        </w:rPr>
        <w:t>5</w:t>
      </w:r>
      <w:r w:rsidRPr="00B76321">
        <w:rPr>
          <w:rFonts w:ascii="Times New Roman" w:hAnsi="Times New Roman" w:cs="Times New Roman"/>
          <w:sz w:val="24"/>
          <w:szCs w:val="24"/>
          <w:shd w:val="clear" w:color="auto" w:fill="FFFFFF"/>
        </w:rPr>
        <w:t xml:space="preserve">(1), 85-102. </w:t>
      </w:r>
    </w:p>
    <w:p w:rsidR="00FE4300" w:rsidRDefault="00FE4300" w:rsidP="00662D84">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p>
    <w:p w:rsidR="00662D84" w:rsidRDefault="00FE4A1A" w:rsidP="00662D84">
      <w:pPr>
        <w:autoSpaceDE w:val="0"/>
        <w:autoSpaceDN w:val="0"/>
        <w:adjustRightInd w:val="0"/>
        <w:spacing w:after="0" w:line="240" w:lineRule="auto"/>
        <w:ind w:left="720" w:hanging="720"/>
        <w:rPr>
          <w:rFonts w:ascii="Times New Roman" w:hAnsi="Times New Roman" w:cs="Times New Roman"/>
          <w:sz w:val="24"/>
          <w:szCs w:val="24"/>
        </w:rPr>
      </w:pPr>
      <w:r w:rsidRPr="00B76321">
        <w:rPr>
          <w:rFonts w:ascii="Times New Roman" w:hAnsi="Times New Roman" w:cs="Times New Roman"/>
          <w:sz w:val="24"/>
          <w:szCs w:val="24"/>
          <w:shd w:val="clear" w:color="auto" w:fill="FFFFFF"/>
        </w:rPr>
        <w:t>Spathis, C., Kosmidou, K., &amp; Doumpos, M. (2002). Assessing profitability factors in the Greek banking system: A multicriteria methodology.</w:t>
      </w:r>
      <w:r w:rsidRPr="00B76321">
        <w:rPr>
          <w:rStyle w:val="apple-converted-space"/>
          <w:rFonts w:ascii="Times New Roman" w:hAnsi="Times New Roman" w:cs="Times New Roman"/>
          <w:sz w:val="24"/>
          <w:szCs w:val="24"/>
          <w:shd w:val="clear" w:color="auto" w:fill="FFFFFF"/>
        </w:rPr>
        <w:t> </w:t>
      </w:r>
      <w:r w:rsidRPr="00B76321">
        <w:rPr>
          <w:rFonts w:ascii="Times New Roman" w:hAnsi="Times New Roman" w:cs="Times New Roman"/>
          <w:i/>
          <w:iCs/>
          <w:sz w:val="24"/>
          <w:szCs w:val="24"/>
          <w:shd w:val="clear" w:color="auto" w:fill="FFFFFF"/>
        </w:rPr>
        <w:t>International Transactions in Operational research</w:t>
      </w:r>
      <w:r w:rsidRPr="00B76321">
        <w:rPr>
          <w:rFonts w:ascii="Times New Roman" w:hAnsi="Times New Roman" w:cs="Times New Roman"/>
          <w:sz w:val="24"/>
          <w:szCs w:val="24"/>
          <w:shd w:val="clear" w:color="auto" w:fill="FFFFFF"/>
        </w:rPr>
        <w:t>,</w:t>
      </w:r>
      <w:r w:rsidRPr="00B76321">
        <w:rPr>
          <w:rStyle w:val="apple-converted-space"/>
          <w:rFonts w:ascii="Times New Roman" w:hAnsi="Times New Roman" w:cs="Times New Roman"/>
          <w:sz w:val="24"/>
          <w:szCs w:val="24"/>
          <w:shd w:val="clear" w:color="auto" w:fill="FFFFFF"/>
        </w:rPr>
        <w:t> </w:t>
      </w:r>
      <w:r w:rsidRPr="00B76321">
        <w:rPr>
          <w:rFonts w:ascii="Times New Roman" w:hAnsi="Times New Roman" w:cs="Times New Roman"/>
          <w:i/>
          <w:iCs/>
          <w:sz w:val="24"/>
          <w:szCs w:val="24"/>
          <w:shd w:val="clear" w:color="auto" w:fill="FFFFFF"/>
        </w:rPr>
        <w:t>9</w:t>
      </w:r>
      <w:r w:rsidRPr="00B76321">
        <w:rPr>
          <w:rFonts w:ascii="Times New Roman" w:hAnsi="Times New Roman" w:cs="Times New Roman"/>
          <w:sz w:val="24"/>
          <w:szCs w:val="24"/>
          <w:shd w:val="clear" w:color="auto" w:fill="FFFFFF"/>
        </w:rPr>
        <w:t>(5), 517-530.</w:t>
      </w:r>
      <w:r w:rsidRPr="00B76321">
        <w:rPr>
          <w:rFonts w:ascii="Times New Roman" w:hAnsi="Times New Roman" w:cs="Times New Roman"/>
          <w:sz w:val="24"/>
          <w:szCs w:val="24"/>
        </w:rPr>
        <w:t xml:space="preserve"> </w:t>
      </w:r>
    </w:p>
    <w:p w:rsidR="00662D84" w:rsidRDefault="00662D84" w:rsidP="00662D84">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p>
    <w:p w:rsidR="00662D84" w:rsidRDefault="00FE4A1A" w:rsidP="00662D84">
      <w:pPr>
        <w:autoSpaceDE w:val="0"/>
        <w:autoSpaceDN w:val="0"/>
        <w:adjustRightInd w:val="0"/>
        <w:spacing w:after="0" w:line="240" w:lineRule="auto"/>
        <w:ind w:left="720" w:hanging="720"/>
        <w:rPr>
          <w:rFonts w:ascii="Times New Roman" w:hAnsi="Times New Roman" w:cs="Times New Roman"/>
          <w:sz w:val="24"/>
          <w:szCs w:val="24"/>
          <w:shd w:val="clear" w:color="auto" w:fill="FFFFFF"/>
        </w:rPr>
      </w:pPr>
      <w:r w:rsidRPr="00B76321">
        <w:rPr>
          <w:rFonts w:ascii="Times New Roman" w:hAnsi="Times New Roman" w:cs="Times New Roman"/>
          <w:sz w:val="24"/>
          <w:szCs w:val="24"/>
          <w:shd w:val="clear" w:color="auto" w:fill="FFFFFF"/>
        </w:rPr>
        <w:t>Srairi, A. S. (2009). Factors influencing the profitability of conventional and Islamic commercial banks in GCC Countries.</w:t>
      </w:r>
      <w:r w:rsidRPr="00B76321">
        <w:rPr>
          <w:rStyle w:val="apple-converted-space"/>
          <w:rFonts w:ascii="Times New Roman" w:hAnsi="Times New Roman" w:cs="Times New Roman"/>
          <w:sz w:val="24"/>
          <w:szCs w:val="24"/>
          <w:shd w:val="clear" w:color="auto" w:fill="FFFFFF"/>
        </w:rPr>
        <w:t> </w:t>
      </w:r>
      <w:r w:rsidRPr="00B76321">
        <w:rPr>
          <w:rFonts w:ascii="Times New Roman" w:hAnsi="Times New Roman" w:cs="Times New Roman"/>
          <w:i/>
          <w:iCs/>
          <w:sz w:val="24"/>
          <w:szCs w:val="24"/>
          <w:shd w:val="clear" w:color="auto" w:fill="FFFFFF"/>
        </w:rPr>
        <w:t>Review of Islamic Economics</w:t>
      </w:r>
      <w:r w:rsidRPr="00B76321">
        <w:rPr>
          <w:rFonts w:ascii="Times New Roman" w:hAnsi="Times New Roman" w:cs="Times New Roman"/>
          <w:sz w:val="24"/>
          <w:szCs w:val="24"/>
          <w:shd w:val="clear" w:color="auto" w:fill="FFFFFF"/>
        </w:rPr>
        <w:t xml:space="preserve">, </w:t>
      </w:r>
      <w:r w:rsidRPr="00B76321">
        <w:rPr>
          <w:rFonts w:ascii="Times New Roman" w:hAnsi="Times New Roman" w:cs="Times New Roman"/>
          <w:i/>
          <w:iCs/>
          <w:sz w:val="24"/>
          <w:szCs w:val="24"/>
          <w:shd w:val="clear" w:color="auto" w:fill="FFFFFF"/>
        </w:rPr>
        <w:t>13</w:t>
      </w:r>
      <w:r w:rsidRPr="00B76321">
        <w:rPr>
          <w:rFonts w:ascii="Times New Roman" w:hAnsi="Times New Roman" w:cs="Times New Roman"/>
          <w:sz w:val="24"/>
          <w:szCs w:val="24"/>
          <w:shd w:val="clear" w:color="auto" w:fill="FFFFFF"/>
        </w:rPr>
        <w:t>(1), 5-30.</w:t>
      </w:r>
    </w:p>
    <w:p w:rsidR="00662D84" w:rsidRDefault="00662D84" w:rsidP="00662D84">
      <w:pPr>
        <w:autoSpaceDE w:val="0"/>
        <w:autoSpaceDN w:val="0"/>
        <w:adjustRightInd w:val="0"/>
        <w:spacing w:after="0" w:line="240" w:lineRule="auto"/>
        <w:ind w:left="720" w:hanging="720"/>
        <w:rPr>
          <w:rFonts w:ascii="Times New Roman" w:hAnsi="Times New Roman" w:cs="Times New Roman"/>
          <w:sz w:val="24"/>
          <w:szCs w:val="24"/>
        </w:rPr>
      </w:pPr>
    </w:p>
    <w:p w:rsidR="00662D84" w:rsidRDefault="00362F44" w:rsidP="00662D84">
      <w:pPr>
        <w:autoSpaceDE w:val="0"/>
        <w:autoSpaceDN w:val="0"/>
        <w:adjustRightInd w:val="0"/>
        <w:spacing w:after="0" w:line="240" w:lineRule="auto"/>
        <w:ind w:left="720" w:hanging="720"/>
        <w:rPr>
          <w:rFonts w:ascii="Times New Roman" w:hAnsi="Times New Roman" w:cs="Times New Roman"/>
          <w:sz w:val="24"/>
          <w:szCs w:val="24"/>
        </w:rPr>
      </w:pPr>
      <w:r w:rsidRPr="00362F44">
        <w:rPr>
          <w:rFonts w:ascii="Times New Roman" w:hAnsi="Times New Roman" w:cs="Times New Roman"/>
          <w:iCs/>
          <w:sz w:val="24"/>
          <w:szCs w:val="24"/>
        </w:rPr>
        <w:t>The Peninsula</w:t>
      </w:r>
      <w:r w:rsidRPr="00B76321">
        <w:rPr>
          <w:rFonts w:ascii="Times New Roman" w:hAnsi="Times New Roman" w:cs="Times New Roman"/>
          <w:sz w:val="24"/>
          <w:szCs w:val="24"/>
        </w:rPr>
        <w:t xml:space="preserve">. </w:t>
      </w:r>
      <w:r w:rsidR="00FE4A1A" w:rsidRPr="00B76321">
        <w:rPr>
          <w:rFonts w:ascii="Times New Roman" w:hAnsi="Times New Roman" w:cs="Times New Roman"/>
          <w:sz w:val="24"/>
          <w:szCs w:val="24"/>
        </w:rPr>
        <w:t xml:space="preserve">(2012). </w:t>
      </w:r>
      <w:r w:rsidRPr="00362F44">
        <w:rPr>
          <w:rFonts w:ascii="Times New Roman" w:hAnsi="Times New Roman" w:cs="Times New Roman"/>
          <w:i/>
          <w:sz w:val="24"/>
          <w:szCs w:val="24"/>
        </w:rPr>
        <w:t>Islamic banking assets to cross $1.8 trillion</w:t>
      </w:r>
      <w:r>
        <w:rPr>
          <w:rFonts w:ascii="Times New Roman" w:hAnsi="Times New Roman" w:cs="Times New Roman"/>
          <w:i/>
          <w:iCs/>
          <w:sz w:val="24"/>
          <w:szCs w:val="24"/>
        </w:rPr>
        <w:t>.</w:t>
      </w:r>
      <w:r w:rsidRPr="00B76321">
        <w:rPr>
          <w:rFonts w:ascii="Times New Roman" w:hAnsi="Times New Roman" w:cs="Times New Roman"/>
          <w:i/>
          <w:iCs/>
          <w:sz w:val="24"/>
          <w:szCs w:val="24"/>
        </w:rPr>
        <w:t xml:space="preserve"> </w:t>
      </w:r>
      <w:r w:rsidR="00FE4A1A" w:rsidRPr="00B76321">
        <w:rPr>
          <w:rFonts w:ascii="Times New Roman" w:hAnsi="Times New Roman" w:cs="Times New Roman"/>
          <w:sz w:val="24"/>
          <w:szCs w:val="24"/>
        </w:rPr>
        <w:t>Retrieved from http://thepeninsulaqatar.com/business/217584-islamic-banking-assets-to-cross-18-trillion.html</w:t>
      </w:r>
    </w:p>
    <w:p w:rsidR="00662D84" w:rsidRDefault="00662D84" w:rsidP="00662D84">
      <w:pPr>
        <w:autoSpaceDE w:val="0"/>
        <w:autoSpaceDN w:val="0"/>
        <w:adjustRightInd w:val="0"/>
        <w:spacing w:after="0" w:line="240" w:lineRule="auto"/>
        <w:ind w:left="720" w:hanging="720"/>
        <w:rPr>
          <w:rFonts w:ascii="Times New Roman" w:hAnsi="Times New Roman" w:cs="Times New Roman"/>
          <w:sz w:val="24"/>
          <w:szCs w:val="24"/>
        </w:rPr>
      </w:pPr>
    </w:p>
    <w:p w:rsidR="00662D84" w:rsidRDefault="00833AB6" w:rsidP="00662D84">
      <w:pPr>
        <w:autoSpaceDE w:val="0"/>
        <w:autoSpaceDN w:val="0"/>
        <w:adjustRightInd w:val="0"/>
        <w:spacing w:after="0" w:line="240" w:lineRule="auto"/>
        <w:ind w:left="720" w:hanging="720"/>
        <w:rPr>
          <w:rFonts w:ascii="Times New Roman" w:hAnsi="Times New Roman" w:cs="Times New Roman"/>
          <w:sz w:val="24"/>
          <w:szCs w:val="24"/>
        </w:rPr>
      </w:pPr>
      <w:r w:rsidRPr="00B76321">
        <w:rPr>
          <w:rFonts w:ascii="Times New Roman" w:hAnsi="Times New Roman" w:cs="Times New Roman"/>
          <w:sz w:val="24"/>
          <w:szCs w:val="24"/>
        </w:rPr>
        <w:t>Wa</w:t>
      </w:r>
      <w:r>
        <w:rPr>
          <w:rFonts w:ascii="Times New Roman" w:hAnsi="Times New Roman" w:cs="Times New Roman"/>
          <w:sz w:val="24"/>
          <w:szCs w:val="24"/>
        </w:rPr>
        <w:t>si</w:t>
      </w:r>
      <w:r w:rsidRPr="00B76321">
        <w:rPr>
          <w:rFonts w:ascii="Times New Roman" w:hAnsi="Times New Roman" w:cs="Times New Roman"/>
          <w:sz w:val="24"/>
          <w:szCs w:val="24"/>
        </w:rPr>
        <w:t>uzzaman</w:t>
      </w:r>
      <w:r w:rsidR="00FE4A1A" w:rsidRPr="00B76321">
        <w:rPr>
          <w:rFonts w:ascii="Times New Roman" w:hAnsi="Times New Roman" w:cs="Times New Roman"/>
          <w:sz w:val="24"/>
          <w:szCs w:val="24"/>
        </w:rPr>
        <w:t xml:space="preserve">, S., &amp; Tarmizi, H.-A. B. A. (2010). Profitability of </w:t>
      </w:r>
      <w:r w:rsidR="00852351">
        <w:rPr>
          <w:rFonts w:ascii="Times New Roman" w:hAnsi="Times New Roman" w:cs="Times New Roman"/>
          <w:sz w:val="24"/>
          <w:szCs w:val="24"/>
        </w:rPr>
        <w:t>Islamic banks</w:t>
      </w:r>
      <w:r w:rsidR="00FE4A1A" w:rsidRPr="00B76321">
        <w:rPr>
          <w:rFonts w:ascii="Times New Roman" w:hAnsi="Times New Roman" w:cs="Times New Roman"/>
          <w:sz w:val="24"/>
          <w:szCs w:val="24"/>
        </w:rPr>
        <w:t xml:space="preserve"> in Malaysia: An empirical analysis. </w:t>
      </w:r>
      <w:r w:rsidR="00FE4A1A" w:rsidRPr="00B76321">
        <w:rPr>
          <w:rFonts w:ascii="Times New Roman" w:hAnsi="Times New Roman" w:cs="Times New Roman"/>
          <w:i/>
          <w:iCs/>
          <w:sz w:val="24"/>
          <w:szCs w:val="24"/>
        </w:rPr>
        <w:t>Journal of Islamic Economics, Banking and Finance, 6</w:t>
      </w:r>
      <w:r w:rsidR="00FE4A1A" w:rsidRPr="00B76321">
        <w:rPr>
          <w:rFonts w:ascii="Times New Roman" w:hAnsi="Times New Roman" w:cs="Times New Roman"/>
          <w:sz w:val="24"/>
          <w:szCs w:val="24"/>
        </w:rPr>
        <w:t xml:space="preserve">(4), 53-68. </w:t>
      </w:r>
    </w:p>
    <w:p w:rsidR="00662D84" w:rsidRDefault="00662D84" w:rsidP="00662D84">
      <w:pPr>
        <w:autoSpaceDE w:val="0"/>
        <w:autoSpaceDN w:val="0"/>
        <w:adjustRightInd w:val="0"/>
        <w:spacing w:after="0" w:line="240" w:lineRule="auto"/>
        <w:ind w:left="720" w:hanging="720"/>
        <w:rPr>
          <w:rFonts w:ascii="Times New Roman" w:hAnsi="Times New Roman" w:cs="Times New Roman"/>
          <w:sz w:val="24"/>
          <w:szCs w:val="24"/>
        </w:rPr>
      </w:pPr>
    </w:p>
    <w:p w:rsidR="00662D84" w:rsidRDefault="00FE4A1A" w:rsidP="00662D84">
      <w:pPr>
        <w:autoSpaceDE w:val="0"/>
        <w:autoSpaceDN w:val="0"/>
        <w:adjustRightInd w:val="0"/>
        <w:spacing w:after="0" w:line="240" w:lineRule="auto"/>
        <w:ind w:left="720" w:hanging="720"/>
        <w:rPr>
          <w:rFonts w:ascii="Times New Roman" w:hAnsi="Times New Roman" w:cs="Times New Roman"/>
          <w:sz w:val="24"/>
          <w:szCs w:val="24"/>
        </w:rPr>
      </w:pPr>
      <w:r w:rsidRPr="00B76321">
        <w:rPr>
          <w:rFonts w:ascii="Times New Roman" w:hAnsi="Times New Roman" w:cs="Times New Roman"/>
          <w:sz w:val="24"/>
          <w:szCs w:val="24"/>
        </w:rPr>
        <w:t xml:space="preserve">Zeitun, R. (2012). Determinants of Islamic and conventional banks performance in GCC countries using panel data analysis. </w:t>
      </w:r>
      <w:r w:rsidRPr="00B76321">
        <w:rPr>
          <w:rFonts w:ascii="Times New Roman" w:hAnsi="Times New Roman" w:cs="Times New Roman"/>
          <w:i/>
          <w:iCs/>
          <w:sz w:val="24"/>
          <w:szCs w:val="24"/>
        </w:rPr>
        <w:t>Global Economy and Finance Journal, 5</w:t>
      </w:r>
      <w:r w:rsidRPr="00B76321">
        <w:rPr>
          <w:rFonts w:ascii="Times New Roman" w:hAnsi="Times New Roman" w:cs="Times New Roman"/>
          <w:sz w:val="24"/>
          <w:szCs w:val="24"/>
        </w:rPr>
        <w:t xml:space="preserve">(1), 53-72. </w:t>
      </w:r>
    </w:p>
    <w:p w:rsidR="000C2EEE" w:rsidRPr="007A1870" w:rsidRDefault="000403E4" w:rsidP="007A1870">
      <w:pPr>
        <w:autoSpaceDE w:val="0"/>
        <w:autoSpaceDN w:val="0"/>
        <w:adjustRightInd w:val="0"/>
        <w:spacing w:after="0" w:line="480" w:lineRule="auto"/>
        <w:ind w:left="720" w:hanging="720"/>
        <w:rPr>
          <w:rStyle w:val="apple-style-span"/>
          <w:rFonts w:ascii="Times New Roman" w:hAnsi="Times New Roman" w:cs="Times New Roman"/>
          <w:sz w:val="24"/>
          <w:szCs w:val="24"/>
          <w:shd w:val="clear" w:color="auto" w:fill="FFFFFF"/>
        </w:rPr>
      </w:pPr>
      <w:r w:rsidRPr="00BE498A">
        <w:rPr>
          <w:rFonts w:ascii="Times New Roman" w:hAnsi="Times New Roman" w:cs="Times New Roman"/>
          <w:sz w:val="24"/>
          <w:szCs w:val="24"/>
          <w:shd w:val="clear" w:color="auto" w:fill="FFFFFF"/>
        </w:rPr>
        <w:t xml:space="preserve">  </w:t>
      </w:r>
    </w:p>
    <w:sectPr w:rsidR="000C2EEE" w:rsidRPr="007A1870" w:rsidSect="00F1452F">
      <w:headerReference w:type="default" r:id="rId42"/>
      <w:footerReference w:type="default" r:id="rId43"/>
      <w:headerReference w:type="first" r:id="rId44"/>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BA0" w:rsidRDefault="00E35BA0" w:rsidP="00257CF0">
      <w:pPr>
        <w:spacing w:after="0" w:line="240" w:lineRule="auto"/>
      </w:pPr>
      <w:r>
        <w:separator/>
      </w:r>
    </w:p>
  </w:endnote>
  <w:endnote w:type="continuationSeparator" w:id="0">
    <w:p w:rsidR="00E35BA0" w:rsidRDefault="00E35BA0" w:rsidP="00257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19884"/>
      <w:docPartObj>
        <w:docPartGallery w:val="Page Numbers (Bottom of Page)"/>
        <w:docPartUnique/>
      </w:docPartObj>
    </w:sdtPr>
    <w:sdtEndPr/>
    <w:sdtContent>
      <w:p w:rsidR="00A720C0" w:rsidRDefault="001D1018">
        <w:pPr>
          <w:pStyle w:val="Footer"/>
          <w:jc w:val="center"/>
        </w:pPr>
        <w:r w:rsidRPr="00B05348">
          <w:rPr>
            <w:rFonts w:ascii="Times New Roman" w:hAnsi="Times New Roman" w:cs="Times New Roman"/>
          </w:rPr>
          <w:fldChar w:fldCharType="begin"/>
        </w:r>
        <w:r w:rsidR="00A720C0" w:rsidRPr="00B05348">
          <w:rPr>
            <w:rFonts w:ascii="Times New Roman" w:hAnsi="Times New Roman" w:cs="Times New Roman"/>
          </w:rPr>
          <w:instrText xml:space="preserve"> PAGE   \* MERGEFORMAT </w:instrText>
        </w:r>
        <w:r w:rsidRPr="00B05348">
          <w:rPr>
            <w:rFonts w:ascii="Times New Roman" w:hAnsi="Times New Roman" w:cs="Times New Roman"/>
          </w:rPr>
          <w:fldChar w:fldCharType="separate"/>
        </w:r>
        <w:r w:rsidR="007F7C4D">
          <w:rPr>
            <w:rFonts w:ascii="Times New Roman" w:hAnsi="Times New Roman" w:cs="Times New Roman"/>
            <w:noProof/>
          </w:rPr>
          <w:t>2</w:t>
        </w:r>
        <w:r w:rsidRPr="00B05348">
          <w:rPr>
            <w:rFonts w:ascii="Times New Roman" w:hAnsi="Times New Roman" w:cs="Times New Roman"/>
          </w:rPr>
          <w:fldChar w:fldCharType="end"/>
        </w:r>
      </w:p>
    </w:sdtContent>
  </w:sdt>
  <w:p w:rsidR="00A720C0" w:rsidRDefault="00A72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BA0" w:rsidRDefault="00E35BA0" w:rsidP="00257CF0">
      <w:pPr>
        <w:spacing w:after="0" w:line="240" w:lineRule="auto"/>
      </w:pPr>
      <w:r>
        <w:separator/>
      </w:r>
    </w:p>
  </w:footnote>
  <w:footnote w:type="continuationSeparator" w:id="0">
    <w:p w:rsidR="00E35BA0" w:rsidRDefault="00E35BA0" w:rsidP="00257CF0">
      <w:pPr>
        <w:spacing w:after="0" w:line="240" w:lineRule="auto"/>
      </w:pPr>
      <w:r>
        <w:continuationSeparator/>
      </w:r>
    </w:p>
  </w:footnote>
  <w:footnote w:id="1">
    <w:p w:rsidR="00A720C0" w:rsidRDefault="00A720C0" w:rsidP="00367B7A">
      <w:pPr>
        <w:pStyle w:val="FootnoteText"/>
      </w:pPr>
    </w:p>
    <w:p w:rsidR="00A720C0" w:rsidRPr="004B502E" w:rsidRDefault="00A720C0" w:rsidP="00367B7A">
      <w:pPr>
        <w:pStyle w:val="FootnoteText"/>
        <w:rPr>
          <w:rFonts w:ascii="Times New Roman" w:hAnsi="Times New Roman" w:cs="Times New Roman"/>
        </w:rPr>
      </w:pPr>
      <w:r w:rsidRPr="004B502E">
        <w:rPr>
          <w:rStyle w:val="FootnoteReference"/>
          <w:rFonts w:ascii="Times New Roman" w:hAnsi="Times New Roman" w:cs="Times New Roman"/>
        </w:rPr>
        <w:footnoteRef/>
      </w:r>
      <w:r w:rsidRPr="004B502E">
        <w:rPr>
          <w:rFonts w:ascii="Times New Roman" w:hAnsi="Times New Roman" w:cs="Times New Roman"/>
        </w:rPr>
        <w:t xml:space="preserve"> The number of bans considered in Islamic banking practice</w:t>
      </w:r>
      <w:r>
        <w:rPr>
          <w:rFonts w:ascii="Times New Roman" w:hAnsi="Times New Roman" w:cs="Times New Roman"/>
        </w:rPr>
        <w:t>s</w:t>
      </w:r>
      <w:r w:rsidRPr="004B502E">
        <w:rPr>
          <w:rFonts w:ascii="Times New Roman" w:hAnsi="Times New Roman" w:cs="Times New Roman"/>
        </w:rPr>
        <w:t xml:space="preserve"> is a controversial issue: according to some scholars (e.g.</w:t>
      </w:r>
      <w:r>
        <w:rPr>
          <w:rFonts w:ascii="Times New Roman" w:hAnsi="Times New Roman" w:cs="Times New Roman"/>
        </w:rPr>
        <w:t>,</w:t>
      </w:r>
      <w:r w:rsidRPr="004B502E">
        <w:rPr>
          <w:rFonts w:ascii="Times New Roman" w:hAnsi="Times New Roman" w:cs="Times New Roman"/>
        </w:rPr>
        <w:t xml:space="preserve"> El-Gamal, 2000</w:t>
      </w:r>
      <w:r>
        <w:rPr>
          <w:rFonts w:ascii="Times New Roman" w:hAnsi="Times New Roman" w:cs="Times New Roman"/>
        </w:rPr>
        <w:t xml:space="preserve">; </w:t>
      </w:r>
      <w:r w:rsidRPr="004B502E">
        <w:rPr>
          <w:rFonts w:ascii="Times New Roman" w:hAnsi="Times New Roman" w:cs="Times New Roman"/>
        </w:rPr>
        <w:t>Ilias, 20</w:t>
      </w:r>
      <w:r>
        <w:rPr>
          <w:rFonts w:ascii="Times New Roman" w:hAnsi="Times New Roman" w:cs="Times New Roman"/>
        </w:rPr>
        <w:t>08</w:t>
      </w:r>
      <w:r w:rsidRPr="004B502E">
        <w:rPr>
          <w:rFonts w:ascii="Times New Roman" w:hAnsi="Times New Roman" w:cs="Times New Roman"/>
        </w:rPr>
        <w:t xml:space="preserve">) there are </w:t>
      </w:r>
      <w:r>
        <w:rPr>
          <w:rFonts w:ascii="Times New Roman" w:hAnsi="Times New Roman" w:cs="Times New Roman"/>
        </w:rPr>
        <w:t>two</w:t>
      </w:r>
      <w:r w:rsidRPr="004B502E">
        <w:rPr>
          <w:rFonts w:ascii="Times New Roman" w:hAnsi="Times New Roman" w:cs="Times New Roman"/>
        </w:rPr>
        <w:t xml:space="preserve"> bans, for others (e.g.</w:t>
      </w:r>
      <w:r>
        <w:rPr>
          <w:rFonts w:ascii="Times New Roman" w:hAnsi="Times New Roman" w:cs="Times New Roman"/>
        </w:rPr>
        <w:t>,</w:t>
      </w:r>
      <w:r w:rsidRPr="004B502E">
        <w:rPr>
          <w:rFonts w:ascii="Times New Roman" w:hAnsi="Times New Roman" w:cs="Times New Roman"/>
        </w:rPr>
        <w:t xml:space="preserve"> Hussain &amp; Mehboob, 2008</w:t>
      </w:r>
      <w:r>
        <w:rPr>
          <w:rFonts w:ascii="Times New Roman" w:hAnsi="Times New Roman" w:cs="Times New Roman"/>
        </w:rPr>
        <w:t>;</w:t>
      </w:r>
      <w:r w:rsidRPr="004B502E">
        <w:rPr>
          <w:rFonts w:ascii="Times New Roman" w:hAnsi="Times New Roman" w:cs="Times New Roman"/>
        </w:rPr>
        <w:t xml:space="preserve"> Mohamad-Zaid et al., 2011) there are </w:t>
      </w:r>
      <w:r>
        <w:rPr>
          <w:rFonts w:ascii="Times New Roman" w:hAnsi="Times New Roman" w:cs="Times New Roman"/>
        </w:rPr>
        <w:t>four</w:t>
      </w:r>
      <w:r w:rsidRPr="004B502E">
        <w:rPr>
          <w:rFonts w:ascii="Times New Roman" w:hAnsi="Times New Roman" w:cs="Times New Roman"/>
        </w:rPr>
        <w:t xml:space="preserve"> bans, </w:t>
      </w:r>
      <w:r>
        <w:rPr>
          <w:rFonts w:ascii="Times New Roman" w:hAnsi="Times New Roman" w:cs="Times New Roman"/>
        </w:rPr>
        <w:t xml:space="preserve">and </w:t>
      </w:r>
      <w:r w:rsidRPr="004B502E">
        <w:rPr>
          <w:rFonts w:ascii="Times New Roman" w:hAnsi="Times New Roman" w:cs="Times New Roman"/>
        </w:rPr>
        <w:t xml:space="preserve">for </w:t>
      </w:r>
      <w:r>
        <w:rPr>
          <w:rFonts w:ascii="Times New Roman" w:hAnsi="Times New Roman" w:cs="Times New Roman"/>
        </w:rPr>
        <w:t xml:space="preserve">some </w:t>
      </w:r>
      <w:r w:rsidRPr="004B502E">
        <w:rPr>
          <w:rFonts w:ascii="Times New Roman" w:hAnsi="Times New Roman" w:cs="Times New Roman"/>
        </w:rPr>
        <w:t>other</w:t>
      </w:r>
      <w:r>
        <w:rPr>
          <w:rFonts w:ascii="Times New Roman" w:hAnsi="Times New Roman" w:cs="Times New Roman"/>
        </w:rPr>
        <w:t xml:space="preserve"> authors</w:t>
      </w:r>
      <w:r w:rsidRPr="004B502E">
        <w:rPr>
          <w:rFonts w:ascii="Times New Roman" w:hAnsi="Times New Roman" w:cs="Times New Roman"/>
        </w:rPr>
        <w:t xml:space="preserve"> (e.g.</w:t>
      </w:r>
      <w:r>
        <w:rPr>
          <w:rFonts w:ascii="Times New Roman" w:hAnsi="Times New Roman" w:cs="Times New Roman"/>
        </w:rPr>
        <w:t xml:space="preserve">, </w:t>
      </w:r>
      <w:r w:rsidRPr="004B502E">
        <w:rPr>
          <w:rFonts w:ascii="Times New Roman" w:hAnsi="Times New Roman" w:cs="Times New Roman"/>
        </w:rPr>
        <w:t xml:space="preserve">Smaoui &amp; Salah, 2012) there are </w:t>
      </w:r>
      <w:r>
        <w:rPr>
          <w:rFonts w:ascii="Times New Roman" w:hAnsi="Times New Roman" w:cs="Times New Roman"/>
        </w:rPr>
        <w:t>three</w:t>
      </w:r>
      <w:r w:rsidRPr="004B502E">
        <w:rPr>
          <w:rFonts w:ascii="Times New Roman" w:hAnsi="Times New Roman" w:cs="Times New Roman"/>
        </w:rPr>
        <w:t xml:space="preserve"> bans.  I</w:t>
      </w:r>
      <w:r>
        <w:rPr>
          <w:rFonts w:ascii="Times New Roman" w:hAnsi="Times New Roman" w:cs="Times New Roman"/>
        </w:rPr>
        <w:t xml:space="preserve">n the current study, we will </w:t>
      </w:r>
      <w:r w:rsidRPr="004B502E">
        <w:rPr>
          <w:rFonts w:ascii="Times New Roman" w:hAnsi="Times New Roman" w:cs="Times New Roman"/>
        </w:rPr>
        <w:t xml:space="preserve">consider the </w:t>
      </w:r>
      <w:r>
        <w:rPr>
          <w:rFonts w:ascii="Times New Roman" w:hAnsi="Times New Roman" w:cs="Times New Roman"/>
        </w:rPr>
        <w:t xml:space="preserve">four </w:t>
      </w:r>
      <w:r w:rsidRPr="004B502E">
        <w:rPr>
          <w:rFonts w:ascii="Times New Roman" w:hAnsi="Times New Roman" w:cs="Times New Roman"/>
        </w:rPr>
        <w:t xml:space="preserve">bans suggested by Hussain </w:t>
      </w:r>
      <w:r>
        <w:rPr>
          <w:rFonts w:ascii="Times New Roman" w:hAnsi="Times New Roman" w:cs="Times New Roman"/>
        </w:rPr>
        <w:t>and</w:t>
      </w:r>
      <w:r w:rsidRPr="004B502E">
        <w:rPr>
          <w:rFonts w:ascii="Times New Roman" w:hAnsi="Times New Roman" w:cs="Times New Roman"/>
        </w:rPr>
        <w:t xml:space="preserve"> Mehboob (2008).</w:t>
      </w:r>
    </w:p>
    <w:p w:rsidR="00A720C0" w:rsidRDefault="00A720C0" w:rsidP="00367B7A">
      <w:pPr>
        <w:pStyle w:val="FootnoteText"/>
      </w:pPr>
    </w:p>
  </w:footnote>
  <w:footnote w:id="2">
    <w:p w:rsidR="00A720C0" w:rsidRPr="004B502E" w:rsidRDefault="00A720C0">
      <w:pPr>
        <w:pStyle w:val="FootnoteText"/>
        <w:rPr>
          <w:rFonts w:ascii="Times New Roman" w:hAnsi="Times New Roman" w:cs="Times New Roman"/>
        </w:rPr>
      </w:pPr>
      <w:r w:rsidRPr="004B502E">
        <w:rPr>
          <w:rStyle w:val="FootnoteReference"/>
          <w:rFonts w:ascii="Times New Roman" w:hAnsi="Times New Roman" w:cs="Times New Roman"/>
        </w:rPr>
        <w:footnoteRef/>
      </w:r>
      <w:r w:rsidRPr="004B502E">
        <w:rPr>
          <w:rFonts w:ascii="Times New Roman" w:hAnsi="Times New Roman" w:cs="Times New Roman"/>
        </w:rPr>
        <w:t xml:space="preserve"> The variables representing the number of banks and the real interest rate were added to the external set of ratios, and the NIM (net interest margin) variable w</w:t>
      </w:r>
      <w:r>
        <w:rPr>
          <w:rFonts w:ascii="Times New Roman" w:hAnsi="Times New Roman" w:cs="Times New Roman"/>
        </w:rPr>
        <w:t>as</w:t>
      </w:r>
      <w:r w:rsidRPr="004B502E">
        <w:rPr>
          <w:rFonts w:ascii="Times New Roman" w:hAnsi="Times New Roman" w:cs="Times New Roman"/>
        </w:rPr>
        <w:t xml:space="preserve"> added to the performance measures. Furthermore, the ownership variable and the ratio of liabilities over total assets were excluded from </w:t>
      </w:r>
      <w:r>
        <w:rPr>
          <w:rFonts w:ascii="Times New Roman" w:hAnsi="Times New Roman" w:cs="Times New Roman"/>
        </w:rPr>
        <w:t xml:space="preserve">the </w:t>
      </w:r>
      <w:r w:rsidRPr="004B502E">
        <w:rPr>
          <w:rFonts w:ascii="Times New Roman" w:hAnsi="Times New Roman" w:cs="Times New Roman"/>
        </w:rPr>
        <w:t>internal set of ratios, and the variables representing the annual growth of GDP, inflation rate, ratio of total taxes paid divided by before tax profit, stock market capitalization</w:t>
      </w:r>
      <w:r>
        <w:rPr>
          <w:rFonts w:ascii="Times New Roman" w:hAnsi="Times New Roman" w:cs="Times New Roman"/>
        </w:rPr>
        <w:t>,</w:t>
      </w:r>
      <w:r w:rsidRPr="004B502E">
        <w:rPr>
          <w:rFonts w:ascii="Times New Roman" w:hAnsi="Times New Roman" w:cs="Times New Roman"/>
        </w:rPr>
        <w:t xml:space="preserve"> and the ratio of stock</w:t>
      </w:r>
      <w:r>
        <w:rPr>
          <w:rFonts w:ascii="Times New Roman" w:hAnsi="Times New Roman" w:cs="Times New Roman"/>
        </w:rPr>
        <w:t>-</w:t>
      </w:r>
      <w:r w:rsidRPr="004B502E">
        <w:rPr>
          <w:rFonts w:ascii="Times New Roman" w:hAnsi="Times New Roman" w:cs="Times New Roman"/>
        </w:rPr>
        <w:t xml:space="preserve">market capitalization divided by deposits of banks were excluded from the external set of ratios. </w:t>
      </w:r>
    </w:p>
  </w:footnote>
  <w:footnote w:id="3">
    <w:p w:rsidR="00A720C0" w:rsidRPr="004B502E" w:rsidRDefault="00A720C0" w:rsidP="00D1125F">
      <w:pPr>
        <w:pStyle w:val="FootnoteText"/>
        <w:rPr>
          <w:rFonts w:ascii="Times New Roman" w:hAnsi="Times New Roman" w:cs="Times New Roman"/>
        </w:rPr>
      </w:pPr>
      <w:r w:rsidRPr="004B502E">
        <w:rPr>
          <w:rStyle w:val="FootnoteReference"/>
          <w:rFonts w:ascii="Times New Roman" w:hAnsi="Times New Roman" w:cs="Times New Roman"/>
        </w:rPr>
        <w:footnoteRef/>
      </w:r>
      <w:r w:rsidRPr="004B502E">
        <w:rPr>
          <w:rFonts w:ascii="Times New Roman" w:hAnsi="Times New Roman" w:cs="Times New Roman"/>
        </w:rPr>
        <w:t xml:space="preserve"> In PLS loans, the risks and the profits associated with loans are being divided between parties based on agreement</w:t>
      </w:r>
      <w:r>
        <w:rPr>
          <w:rFonts w:ascii="Times New Roman" w:hAnsi="Times New Roman" w:cs="Times New Roman"/>
        </w:rPr>
        <w:t>s</w:t>
      </w:r>
      <w:r w:rsidRPr="004B502E">
        <w:rPr>
          <w:rFonts w:ascii="Times New Roman" w:hAnsi="Times New Roman" w:cs="Times New Roman"/>
        </w:rPr>
        <w:t xml:space="preserve"> </w:t>
      </w:r>
      <w:r>
        <w:rPr>
          <w:rFonts w:ascii="Times New Roman" w:hAnsi="Times New Roman" w:cs="Times New Roman"/>
        </w:rPr>
        <w:t xml:space="preserve">that </w:t>
      </w:r>
      <w:r w:rsidRPr="004B502E">
        <w:rPr>
          <w:rFonts w:ascii="Times New Roman" w:hAnsi="Times New Roman" w:cs="Times New Roman"/>
        </w:rPr>
        <w:t xml:space="preserve">make them very fragile during economic recession periods.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0C0" w:rsidRPr="00EE72D5" w:rsidRDefault="00A720C0">
    <w:pPr>
      <w:pStyle w:val="Header"/>
      <w:rPr>
        <w:rFonts w:ascii="Times New Roman" w:hAnsi="Times New Roman" w:cs="Times New Roman"/>
      </w:rPr>
    </w:pPr>
    <w:r w:rsidRPr="00EE72D5">
      <w:rPr>
        <w:rFonts w:ascii="Times New Roman" w:hAnsi="Times New Roman" w:cs="Times New Roman"/>
      </w:rPr>
      <w:t xml:space="preserve">PERFORMANCE OF </w:t>
    </w:r>
    <w:r>
      <w:rPr>
        <w:rFonts w:ascii="Times New Roman" w:hAnsi="Times New Roman" w:cs="Times New Roman"/>
      </w:rPr>
      <w:t>MALAYSIAN ISLAMIC BANKS</w:t>
    </w:r>
    <w:r w:rsidRPr="00EE72D5">
      <w:rPr>
        <w:rFonts w:ascii="Times New Roman" w:hAnsi="Times New Roman" w:cs="Times New Roman"/>
      </w:rPr>
      <w:tab/>
    </w:r>
    <w:r w:rsidRPr="00EE72D5">
      <w:rPr>
        <w:rFonts w:ascii="Times New Roman" w:hAnsi="Times New Roman" w:cs="Times New Roman"/>
      </w:rPr>
      <w:tab/>
    </w:r>
    <w:r w:rsidRPr="00EE72D5">
      <w:rPr>
        <w:rFonts w:ascii="Times New Roman" w:hAnsi="Times New Roman" w:cs="Times New Roman"/>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0C0" w:rsidRPr="00EE72D5" w:rsidRDefault="00A720C0">
    <w:pPr>
      <w:pStyle w:val="Header"/>
      <w:rPr>
        <w:rFonts w:ascii="Times New Roman" w:hAnsi="Times New Roman" w:cs="Times New Roman"/>
      </w:rPr>
    </w:pPr>
    <w:r w:rsidRPr="00EE72D5">
      <w:rPr>
        <w:rFonts w:ascii="Times New Roman" w:hAnsi="Times New Roman" w:cs="Times New Roman"/>
      </w:rPr>
      <w:t>Runni</w:t>
    </w:r>
    <w:r>
      <w:rPr>
        <w:rFonts w:ascii="Times New Roman" w:hAnsi="Times New Roman" w:cs="Times New Roman"/>
      </w:rPr>
      <w:t xml:space="preserve">ng head: PERFORMANCE OF </w:t>
    </w:r>
    <w:r w:rsidRPr="00EE72D5">
      <w:rPr>
        <w:rFonts w:ascii="Times New Roman" w:hAnsi="Times New Roman" w:cs="Times New Roman"/>
      </w:rPr>
      <w:t>MALAYSIA</w:t>
    </w:r>
    <w:r>
      <w:rPr>
        <w:rFonts w:ascii="Times New Roman" w:hAnsi="Times New Roman" w:cs="Times New Roman"/>
      </w:rPr>
      <w:t>N ISLAMIC BANKS</w:t>
    </w:r>
    <w:r w:rsidRPr="00EE72D5">
      <w:rPr>
        <w:rFonts w:ascii="Times New Roman" w:hAnsi="Times New Roman" w:cs="Times New Roman"/>
      </w:rPr>
      <w:tab/>
    </w:r>
  </w:p>
  <w:p w:rsidR="00A720C0" w:rsidRDefault="00A720C0" w:rsidP="00084297">
    <w:pPr>
      <w:pStyle w:val="Header"/>
      <w:tabs>
        <w:tab w:val="clear" w:pos="9355"/>
        <w:tab w:val="left" w:pos="6585"/>
        <w:tab w:val="left" w:pos="81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1861"/>
    <w:multiLevelType w:val="hybridMultilevel"/>
    <w:tmpl w:val="09DC7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743B1"/>
    <w:multiLevelType w:val="hybridMultilevel"/>
    <w:tmpl w:val="565A3C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BA6908"/>
    <w:multiLevelType w:val="hybridMultilevel"/>
    <w:tmpl w:val="C76C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F5E70"/>
    <w:multiLevelType w:val="hybridMultilevel"/>
    <w:tmpl w:val="60E0D8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E8B6996"/>
    <w:multiLevelType w:val="hybridMultilevel"/>
    <w:tmpl w:val="BD6EBB4A"/>
    <w:lvl w:ilvl="0" w:tplc="04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FA3BFB"/>
    <w:multiLevelType w:val="hybridMultilevel"/>
    <w:tmpl w:val="8EFAB0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B637FB1"/>
    <w:multiLevelType w:val="hybridMultilevel"/>
    <w:tmpl w:val="B88C4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A6625"/>
    <w:multiLevelType w:val="hybridMultilevel"/>
    <w:tmpl w:val="549AF33E"/>
    <w:lvl w:ilvl="0" w:tplc="4F6444EA">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37811AB"/>
    <w:multiLevelType w:val="hybridMultilevel"/>
    <w:tmpl w:val="0250125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8A62FC"/>
    <w:multiLevelType w:val="hybridMultilevel"/>
    <w:tmpl w:val="6FB4D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B610B65"/>
    <w:multiLevelType w:val="hybridMultilevel"/>
    <w:tmpl w:val="C6868C1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F664D56"/>
    <w:multiLevelType w:val="hybridMultilevel"/>
    <w:tmpl w:val="3C7C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DB46D6"/>
    <w:multiLevelType w:val="hybridMultilevel"/>
    <w:tmpl w:val="C2B05DDA"/>
    <w:lvl w:ilvl="0" w:tplc="8FBA752E">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9364D5"/>
    <w:multiLevelType w:val="hybridMultilevel"/>
    <w:tmpl w:val="42006B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87735C"/>
    <w:multiLevelType w:val="hybridMultilevel"/>
    <w:tmpl w:val="A9966C8C"/>
    <w:lvl w:ilvl="0" w:tplc="0407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8F16C66"/>
    <w:multiLevelType w:val="hybridMultilevel"/>
    <w:tmpl w:val="90E29EA4"/>
    <w:lvl w:ilvl="0" w:tplc="0407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CE33F9"/>
    <w:multiLevelType w:val="hybridMultilevel"/>
    <w:tmpl w:val="3EC6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3D5BE8"/>
    <w:multiLevelType w:val="hybridMultilevel"/>
    <w:tmpl w:val="A7BE9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82290A"/>
    <w:multiLevelType w:val="hybridMultilevel"/>
    <w:tmpl w:val="59CEB0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6B00212"/>
    <w:multiLevelType w:val="hybridMultilevel"/>
    <w:tmpl w:val="C9B80D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563997"/>
    <w:multiLevelType w:val="hybridMultilevel"/>
    <w:tmpl w:val="C2B8C7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6"/>
  </w:num>
  <w:num w:numId="4">
    <w:abstractNumId w:val="17"/>
  </w:num>
  <w:num w:numId="5">
    <w:abstractNumId w:val="13"/>
  </w:num>
  <w:num w:numId="6">
    <w:abstractNumId w:val="3"/>
  </w:num>
  <w:num w:numId="7">
    <w:abstractNumId w:val="10"/>
  </w:num>
  <w:num w:numId="8">
    <w:abstractNumId w:val="7"/>
  </w:num>
  <w:num w:numId="9">
    <w:abstractNumId w:val="8"/>
  </w:num>
  <w:num w:numId="10">
    <w:abstractNumId w:val="18"/>
  </w:num>
  <w:num w:numId="11">
    <w:abstractNumId w:val="14"/>
  </w:num>
  <w:num w:numId="12">
    <w:abstractNumId w:val="15"/>
  </w:num>
  <w:num w:numId="13">
    <w:abstractNumId w:val="4"/>
  </w:num>
  <w:num w:numId="14">
    <w:abstractNumId w:val="5"/>
  </w:num>
  <w:num w:numId="15">
    <w:abstractNumId w:val="1"/>
  </w:num>
  <w:num w:numId="16">
    <w:abstractNumId w:val="12"/>
  </w:num>
  <w:num w:numId="17">
    <w:abstractNumId w:val="19"/>
  </w:num>
  <w:num w:numId="18">
    <w:abstractNumId w:val="9"/>
  </w:num>
  <w:num w:numId="19">
    <w:abstractNumId w:val="2"/>
  </w:num>
  <w:num w:numId="20">
    <w:abstractNumId w:val="16"/>
  </w:num>
  <w:num w:numId="2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1054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591"/>
    <w:rsid w:val="000037C6"/>
    <w:rsid w:val="000037E1"/>
    <w:rsid w:val="0000388D"/>
    <w:rsid w:val="00004A97"/>
    <w:rsid w:val="00005A88"/>
    <w:rsid w:val="00005D25"/>
    <w:rsid w:val="00010D27"/>
    <w:rsid w:val="0001177A"/>
    <w:rsid w:val="00011C38"/>
    <w:rsid w:val="000137DA"/>
    <w:rsid w:val="00014503"/>
    <w:rsid w:val="000159C1"/>
    <w:rsid w:val="00021654"/>
    <w:rsid w:val="00021B0E"/>
    <w:rsid w:val="00022A7A"/>
    <w:rsid w:val="00024EF9"/>
    <w:rsid w:val="00026C97"/>
    <w:rsid w:val="00026D61"/>
    <w:rsid w:val="0003385C"/>
    <w:rsid w:val="00033EDB"/>
    <w:rsid w:val="0003513A"/>
    <w:rsid w:val="00036CCF"/>
    <w:rsid w:val="00037971"/>
    <w:rsid w:val="000403E4"/>
    <w:rsid w:val="000404BD"/>
    <w:rsid w:val="00045C33"/>
    <w:rsid w:val="00047147"/>
    <w:rsid w:val="00047502"/>
    <w:rsid w:val="000475EF"/>
    <w:rsid w:val="00050642"/>
    <w:rsid w:val="000527F3"/>
    <w:rsid w:val="00052965"/>
    <w:rsid w:val="0005583D"/>
    <w:rsid w:val="00057654"/>
    <w:rsid w:val="00060287"/>
    <w:rsid w:val="00062FFD"/>
    <w:rsid w:val="000651E1"/>
    <w:rsid w:val="0006555E"/>
    <w:rsid w:val="00066F89"/>
    <w:rsid w:val="000708A0"/>
    <w:rsid w:val="00071772"/>
    <w:rsid w:val="00071C74"/>
    <w:rsid w:val="00072754"/>
    <w:rsid w:val="00072C88"/>
    <w:rsid w:val="00074AD1"/>
    <w:rsid w:val="00075149"/>
    <w:rsid w:val="00076170"/>
    <w:rsid w:val="00080C0E"/>
    <w:rsid w:val="00082537"/>
    <w:rsid w:val="00083BB3"/>
    <w:rsid w:val="00084297"/>
    <w:rsid w:val="000853E4"/>
    <w:rsid w:val="0008549C"/>
    <w:rsid w:val="00086867"/>
    <w:rsid w:val="0008749F"/>
    <w:rsid w:val="00094B2B"/>
    <w:rsid w:val="00094C6B"/>
    <w:rsid w:val="000951A0"/>
    <w:rsid w:val="000A0B92"/>
    <w:rsid w:val="000A23EF"/>
    <w:rsid w:val="000A36C6"/>
    <w:rsid w:val="000A3747"/>
    <w:rsid w:val="000A38AE"/>
    <w:rsid w:val="000A7A35"/>
    <w:rsid w:val="000B005E"/>
    <w:rsid w:val="000B2D8F"/>
    <w:rsid w:val="000B2E77"/>
    <w:rsid w:val="000B3C02"/>
    <w:rsid w:val="000B5CF2"/>
    <w:rsid w:val="000B7D28"/>
    <w:rsid w:val="000C0947"/>
    <w:rsid w:val="000C19D6"/>
    <w:rsid w:val="000C202F"/>
    <w:rsid w:val="000C2EEE"/>
    <w:rsid w:val="000C3550"/>
    <w:rsid w:val="000C54CA"/>
    <w:rsid w:val="000C5A26"/>
    <w:rsid w:val="000C782F"/>
    <w:rsid w:val="000C7CEE"/>
    <w:rsid w:val="000D0B63"/>
    <w:rsid w:val="000D201C"/>
    <w:rsid w:val="000D249E"/>
    <w:rsid w:val="000D2862"/>
    <w:rsid w:val="000D3A6B"/>
    <w:rsid w:val="000D4759"/>
    <w:rsid w:val="000D52F9"/>
    <w:rsid w:val="000D6950"/>
    <w:rsid w:val="000D6980"/>
    <w:rsid w:val="000E28BC"/>
    <w:rsid w:val="000E4CA3"/>
    <w:rsid w:val="000F1A66"/>
    <w:rsid w:val="000F2125"/>
    <w:rsid w:val="000F2AC6"/>
    <w:rsid w:val="000F6A95"/>
    <w:rsid w:val="000F6B53"/>
    <w:rsid w:val="000F6B80"/>
    <w:rsid w:val="00100287"/>
    <w:rsid w:val="001002DD"/>
    <w:rsid w:val="0010054A"/>
    <w:rsid w:val="00100564"/>
    <w:rsid w:val="00100FD7"/>
    <w:rsid w:val="00101549"/>
    <w:rsid w:val="00101F4B"/>
    <w:rsid w:val="00103C41"/>
    <w:rsid w:val="00104372"/>
    <w:rsid w:val="00104A1C"/>
    <w:rsid w:val="00105F64"/>
    <w:rsid w:val="00107D79"/>
    <w:rsid w:val="00113307"/>
    <w:rsid w:val="00113D30"/>
    <w:rsid w:val="00115A44"/>
    <w:rsid w:val="00116029"/>
    <w:rsid w:val="00117C84"/>
    <w:rsid w:val="001211E3"/>
    <w:rsid w:val="00121E93"/>
    <w:rsid w:val="001224A8"/>
    <w:rsid w:val="001224E6"/>
    <w:rsid w:val="00122785"/>
    <w:rsid w:val="00126037"/>
    <w:rsid w:val="001301B9"/>
    <w:rsid w:val="0013154E"/>
    <w:rsid w:val="00132D50"/>
    <w:rsid w:val="00134777"/>
    <w:rsid w:val="00135946"/>
    <w:rsid w:val="00136460"/>
    <w:rsid w:val="0013703D"/>
    <w:rsid w:val="001401FB"/>
    <w:rsid w:val="00140802"/>
    <w:rsid w:val="001408AC"/>
    <w:rsid w:val="00140C04"/>
    <w:rsid w:val="001417C1"/>
    <w:rsid w:val="0014306B"/>
    <w:rsid w:val="001446C0"/>
    <w:rsid w:val="0014591C"/>
    <w:rsid w:val="001462C9"/>
    <w:rsid w:val="00146E65"/>
    <w:rsid w:val="00147551"/>
    <w:rsid w:val="00147C6B"/>
    <w:rsid w:val="00150B18"/>
    <w:rsid w:val="00150FCB"/>
    <w:rsid w:val="00151C9C"/>
    <w:rsid w:val="001541C9"/>
    <w:rsid w:val="00154243"/>
    <w:rsid w:val="0015511F"/>
    <w:rsid w:val="00155175"/>
    <w:rsid w:val="0015570B"/>
    <w:rsid w:val="00156B01"/>
    <w:rsid w:val="00156B0F"/>
    <w:rsid w:val="00157ACC"/>
    <w:rsid w:val="001604C9"/>
    <w:rsid w:val="00161641"/>
    <w:rsid w:val="00163B1A"/>
    <w:rsid w:val="00163DD5"/>
    <w:rsid w:val="0016703F"/>
    <w:rsid w:val="00171B2C"/>
    <w:rsid w:val="00173551"/>
    <w:rsid w:val="001740C0"/>
    <w:rsid w:val="0017553A"/>
    <w:rsid w:val="00176D1A"/>
    <w:rsid w:val="00176D59"/>
    <w:rsid w:val="001779A9"/>
    <w:rsid w:val="00177E39"/>
    <w:rsid w:val="001811F0"/>
    <w:rsid w:val="00181EB7"/>
    <w:rsid w:val="00182154"/>
    <w:rsid w:val="00185721"/>
    <w:rsid w:val="0018676F"/>
    <w:rsid w:val="00186EB9"/>
    <w:rsid w:val="001919B9"/>
    <w:rsid w:val="00191CED"/>
    <w:rsid w:val="00191D0E"/>
    <w:rsid w:val="00192068"/>
    <w:rsid w:val="001920B0"/>
    <w:rsid w:val="001927EB"/>
    <w:rsid w:val="001953EC"/>
    <w:rsid w:val="00195727"/>
    <w:rsid w:val="001957FA"/>
    <w:rsid w:val="0019615E"/>
    <w:rsid w:val="001976D9"/>
    <w:rsid w:val="001A04BF"/>
    <w:rsid w:val="001A1246"/>
    <w:rsid w:val="001A2341"/>
    <w:rsid w:val="001A28CA"/>
    <w:rsid w:val="001A3190"/>
    <w:rsid w:val="001A3460"/>
    <w:rsid w:val="001A6A70"/>
    <w:rsid w:val="001A6C16"/>
    <w:rsid w:val="001A6D3C"/>
    <w:rsid w:val="001A7D1A"/>
    <w:rsid w:val="001A7D6C"/>
    <w:rsid w:val="001B1C71"/>
    <w:rsid w:val="001B27F0"/>
    <w:rsid w:val="001B3784"/>
    <w:rsid w:val="001B4D5C"/>
    <w:rsid w:val="001B539C"/>
    <w:rsid w:val="001B6D97"/>
    <w:rsid w:val="001B6EF7"/>
    <w:rsid w:val="001B78B7"/>
    <w:rsid w:val="001C19E5"/>
    <w:rsid w:val="001C6E3A"/>
    <w:rsid w:val="001C6E56"/>
    <w:rsid w:val="001C70BF"/>
    <w:rsid w:val="001D0C35"/>
    <w:rsid w:val="001D1018"/>
    <w:rsid w:val="001D2AA4"/>
    <w:rsid w:val="001D3A10"/>
    <w:rsid w:val="001D3A8F"/>
    <w:rsid w:val="001D3F60"/>
    <w:rsid w:val="001D4AB4"/>
    <w:rsid w:val="001D6727"/>
    <w:rsid w:val="001D6BD8"/>
    <w:rsid w:val="001D743A"/>
    <w:rsid w:val="001E25C5"/>
    <w:rsid w:val="001E402D"/>
    <w:rsid w:val="001E4B53"/>
    <w:rsid w:val="001E4FCB"/>
    <w:rsid w:val="001E593F"/>
    <w:rsid w:val="001E5B14"/>
    <w:rsid w:val="001E5E5F"/>
    <w:rsid w:val="001F06EE"/>
    <w:rsid w:val="001F08A6"/>
    <w:rsid w:val="001F1574"/>
    <w:rsid w:val="001F1738"/>
    <w:rsid w:val="001F3255"/>
    <w:rsid w:val="001F3929"/>
    <w:rsid w:val="001F4CC2"/>
    <w:rsid w:val="001F6111"/>
    <w:rsid w:val="001F61AC"/>
    <w:rsid w:val="001F722D"/>
    <w:rsid w:val="00200076"/>
    <w:rsid w:val="00200741"/>
    <w:rsid w:val="0020083F"/>
    <w:rsid w:val="00200D4E"/>
    <w:rsid w:val="00202BAF"/>
    <w:rsid w:val="00202D1E"/>
    <w:rsid w:val="00205FF2"/>
    <w:rsid w:val="00206DDB"/>
    <w:rsid w:val="00207AA0"/>
    <w:rsid w:val="00207B91"/>
    <w:rsid w:val="002114D2"/>
    <w:rsid w:val="0021162E"/>
    <w:rsid w:val="00212AF5"/>
    <w:rsid w:val="00213408"/>
    <w:rsid w:val="0021417F"/>
    <w:rsid w:val="00214E0D"/>
    <w:rsid w:val="0021505D"/>
    <w:rsid w:val="00216386"/>
    <w:rsid w:val="00216AFC"/>
    <w:rsid w:val="002172A3"/>
    <w:rsid w:val="00217A14"/>
    <w:rsid w:val="00220506"/>
    <w:rsid w:val="00220C87"/>
    <w:rsid w:val="00221B84"/>
    <w:rsid w:val="00222467"/>
    <w:rsid w:val="00224F06"/>
    <w:rsid w:val="00225EB0"/>
    <w:rsid w:val="00226AC1"/>
    <w:rsid w:val="00230F55"/>
    <w:rsid w:val="002314CE"/>
    <w:rsid w:val="0023245D"/>
    <w:rsid w:val="00234252"/>
    <w:rsid w:val="00235D26"/>
    <w:rsid w:val="002411C6"/>
    <w:rsid w:val="0024193B"/>
    <w:rsid w:val="00243692"/>
    <w:rsid w:val="00243B8D"/>
    <w:rsid w:val="0024705C"/>
    <w:rsid w:val="002505D8"/>
    <w:rsid w:val="00250A19"/>
    <w:rsid w:val="00254EC0"/>
    <w:rsid w:val="002554DA"/>
    <w:rsid w:val="00255D45"/>
    <w:rsid w:val="00257CF0"/>
    <w:rsid w:val="0026176E"/>
    <w:rsid w:val="00262417"/>
    <w:rsid w:val="0026301A"/>
    <w:rsid w:val="0026397C"/>
    <w:rsid w:val="00263B30"/>
    <w:rsid w:val="00265599"/>
    <w:rsid w:val="0026568F"/>
    <w:rsid w:val="002701C4"/>
    <w:rsid w:val="002709B8"/>
    <w:rsid w:val="0027715F"/>
    <w:rsid w:val="00277C32"/>
    <w:rsid w:val="002818E6"/>
    <w:rsid w:val="00282D13"/>
    <w:rsid w:val="0028395E"/>
    <w:rsid w:val="00285EB8"/>
    <w:rsid w:val="00287C48"/>
    <w:rsid w:val="00290E91"/>
    <w:rsid w:val="002914BA"/>
    <w:rsid w:val="002937E1"/>
    <w:rsid w:val="0029442E"/>
    <w:rsid w:val="00295132"/>
    <w:rsid w:val="0029551C"/>
    <w:rsid w:val="00296743"/>
    <w:rsid w:val="002A0786"/>
    <w:rsid w:val="002A1874"/>
    <w:rsid w:val="002A1DF4"/>
    <w:rsid w:val="002A2224"/>
    <w:rsid w:val="002A2F45"/>
    <w:rsid w:val="002A35FE"/>
    <w:rsid w:val="002A4053"/>
    <w:rsid w:val="002A419D"/>
    <w:rsid w:val="002A4B31"/>
    <w:rsid w:val="002A591B"/>
    <w:rsid w:val="002A5A33"/>
    <w:rsid w:val="002A6DE7"/>
    <w:rsid w:val="002B0A5C"/>
    <w:rsid w:val="002B3989"/>
    <w:rsid w:val="002B44EA"/>
    <w:rsid w:val="002B4BBF"/>
    <w:rsid w:val="002B56F4"/>
    <w:rsid w:val="002B71B4"/>
    <w:rsid w:val="002C05BA"/>
    <w:rsid w:val="002C14FF"/>
    <w:rsid w:val="002C2239"/>
    <w:rsid w:val="002C2BB8"/>
    <w:rsid w:val="002C3080"/>
    <w:rsid w:val="002C3CC1"/>
    <w:rsid w:val="002C407A"/>
    <w:rsid w:val="002C48A5"/>
    <w:rsid w:val="002C4A65"/>
    <w:rsid w:val="002C5899"/>
    <w:rsid w:val="002C6B7E"/>
    <w:rsid w:val="002C7C28"/>
    <w:rsid w:val="002D1143"/>
    <w:rsid w:val="002D1315"/>
    <w:rsid w:val="002D1ADD"/>
    <w:rsid w:val="002D5339"/>
    <w:rsid w:val="002E019B"/>
    <w:rsid w:val="002E0666"/>
    <w:rsid w:val="002E0E92"/>
    <w:rsid w:val="002E175E"/>
    <w:rsid w:val="002E1D74"/>
    <w:rsid w:val="002E1E20"/>
    <w:rsid w:val="002E2E76"/>
    <w:rsid w:val="002E38C1"/>
    <w:rsid w:val="002E49DC"/>
    <w:rsid w:val="002E712B"/>
    <w:rsid w:val="002E7DB6"/>
    <w:rsid w:val="002F0263"/>
    <w:rsid w:val="002F08FC"/>
    <w:rsid w:val="002F1F96"/>
    <w:rsid w:val="002F282D"/>
    <w:rsid w:val="002F4038"/>
    <w:rsid w:val="002F4517"/>
    <w:rsid w:val="002F51C4"/>
    <w:rsid w:val="002F6A06"/>
    <w:rsid w:val="002F7088"/>
    <w:rsid w:val="002F743B"/>
    <w:rsid w:val="0030124D"/>
    <w:rsid w:val="003033FA"/>
    <w:rsid w:val="00305C00"/>
    <w:rsid w:val="00306F9B"/>
    <w:rsid w:val="00307F35"/>
    <w:rsid w:val="00310CD1"/>
    <w:rsid w:val="003120AE"/>
    <w:rsid w:val="003128A8"/>
    <w:rsid w:val="003135A6"/>
    <w:rsid w:val="0031443C"/>
    <w:rsid w:val="00316172"/>
    <w:rsid w:val="00317607"/>
    <w:rsid w:val="0032223D"/>
    <w:rsid w:val="00324BB1"/>
    <w:rsid w:val="00326305"/>
    <w:rsid w:val="00327762"/>
    <w:rsid w:val="0033031B"/>
    <w:rsid w:val="0033131A"/>
    <w:rsid w:val="0033190D"/>
    <w:rsid w:val="003347E1"/>
    <w:rsid w:val="00335415"/>
    <w:rsid w:val="00335652"/>
    <w:rsid w:val="00335B58"/>
    <w:rsid w:val="00335E95"/>
    <w:rsid w:val="00340197"/>
    <w:rsid w:val="0034034C"/>
    <w:rsid w:val="00340464"/>
    <w:rsid w:val="003406B8"/>
    <w:rsid w:val="00342E06"/>
    <w:rsid w:val="00350BB4"/>
    <w:rsid w:val="00351BD0"/>
    <w:rsid w:val="003520AF"/>
    <w:rsid w:val="0035262D"/>
    <w:rsid w:val="00352AC2"/>
    <w:rsid w:val="00353319"/>
    <w:rsid w:val="003536CE"/>
    <w:rsid w:val="00362504"/>
    <w:rsid w:val="00362B5A"/>
    <w:rsid w:val="00362F44"/>
    <w:rsid w:val="003651DB"/>
    <w:rsid w:val="00365762"/>
    <w:rsid w:val="00367B7A"/>
    <w:rsid w:val="00371E0F"/>
    <w:rsid w:val="003720C2"/>
    <w:rsid w:val="003721E1"/>
    <w:rsid w:val="00372617"/>
    <w:rsid w:val="0037349B"/>
    <w:rsid w:val="00373C50"/>
    <w:rsid w:val="00374169"/>
    <w:rsid w:val="003744A2"/>
    <w:rsid w:val="003746CE"/>
    <w:rsid w:val="00374D94"/>
    <w:rsid w:val="003758B4"/>
    <w:rsid w:val="00377CF9"/>
    <w:rsid w:val="00377F79"/>
    <w:rsid w:val="00381C14"/>
    <w:rsid w:val="00382B01"/>
    <w:rsid w:val="00383437"/>
    <w:rsid w:val="00383735"/>
    <w:rsid w:val="00383CF6"/>
    <w:rsid w:val="003844D7"/>
    <w:rsid w:val="0038728A"/>
    <w:rsid w:val="003909F7"/>
    <w:rsid w:val="00391EEF"/>
    <w:rsid w:val="003926F3"/>
    <w:rsid w:val="00392838"/>
    <w:rsid w:val="00392EA6"/>
    <w:rsid w:val="0039490A"/>
    <w:rsid w:val="00395F30"/>
    <w:rsid w:val="003A076A"/>
    <w:rsid w:val="003A1264"/>
    <w:rsid w:val="003A1E36"/>
    <w:rsid w:val="003A2176"/>
    <w:rsid w:val="003A2DC1"/>
    <w:rsid w:val="003A39BD"/>
    <w:rsid w:val="003A40AC"/>
    <w:rsid w:val="003A472C"/>
    <w:rsid w:val="003A4D0B"/>
    <w:rsid w:val="003A5ECF"/>
    <w:rsid w:val="003A68F9"/>
    <w:rsid w:val="003A697A"/>
    <w:rsid w:val="003A6CA0"/>
    <w:rsid w:val="003A6E91"/>
    <w:rsid w:val="003A7561"/>
    <w:rsid w:val="003B21A1"/>
    <w:rsid w:val="003B2AEF"/>
    <w:rsid w:val="003B3C8C"/>
    <w:rsid w:val="003B4201"/>
    <w:rsid w:val="003B69F0"/>
    <w:rsid w:val="003B6A15"/>
    <w:rsid w:val="003B7586"/>
    <w:rsid w:val="003B76AB"/>
    <w:rsid w:val="003C0341"/>
    <w:rsid w:val="003C1BE0"/>
    <w:rsid w:val="003C242E"/>
    <w:rsid w:val="003C3BAA"/>
    <w:rsid w:val="003C6A6A"/>
    <w:rsid w:val="003C7D3D"/>
    <w:rsid w:val="003D3329"/>
    <w:rsid w:val="003D37D5"/>
    <w:rsid w:val="003D3DE0"/>
    <w:rsid w:val="003D5FB0"/>
    <w:rsid w:val="003E066E"/>
    <w:rsid w:val="003E1C09"/>
    <w:rsid w:val="003E22C4"/>
    <w:rsid w:val="003E2918"/>
    <w:rsid w:val="003E369C"/>
    <w:rsid w:val="003E37E7"/>
    <w:rsid w:val="003E412A"/>
    <w:rsid w:val="003E48D5"/>
    <w:rsid w:val="003E7A44"/>
    <w:rsid w:val="003F147A"/>
    <w:rsid w:val="003F2D3B"/>
    <w:rsid w:val="003F41DA"/>
    <w:rsid w:val="003F5096"/>
    <w:rsid w:val="0040047F"/>
    <w:rsid w:val="004005C9"/>
    <w:rsid w:val="0040187C"/>
    <w:rsid w:val="00401B3E"/>
    <w:rsid w:val="00402BD5"/>
    <w:rsid w:val="00405CCE"/>
    <w:rsid w:val="00406083"/>
    <w:rsid w:val="00410019"/>
    <w:rsid w:val="004107A6"/>
    <w:rsid w:val="00410D56"/>
    <w:rsid w:val="004111A3"/>
    <w:rsid w:val="00412130"/>
    <w:rsid w:val="004126B8"/>
    <w:rsid w:val="004134B8"/>
    <w:rsid w:val="00415726"/>
    <w:rsid w:val="00416F88"/>
    <w:rsid w:val="00422714"/>
    <w:rsid w:val="00422E45"/>
    <w:rsid w:val="00423344"/>
    <w:rsid w:val="004248FD"/>
    <w:rsid w:val="00424CF7"/>
    <w:rsid w:val="004250A8"/>
    <w:rsid w:val="0042779E"/>
    <w:rsid w:val="004302F7"/>
    <w:rsid w:val="004303E7"/>
    <w:rsid w:val="0043370B"/>
    <w:rsid w:val="00433B26"/>
    <w:rsid w:val="00434774"/>
    <w:rsid w:val="0043521F"/>
    <w:rsid w:val="00436132"/>
    <w:rsid w:val="004379DC"/>
    <w:rsid w:val="00440A89"/>
    <w:rsid w:val="00441563"/>
    <w:rsid w:val="0044381E"/>
    <w:rsid w:val="00450513"/>
    <w:rsid w:val="004513FF"/>
    <w:rsid w:val="0045158F"/>
    <w:rsid w:val="00455097"/>
    <w:rsid w:val="00455D0D"/>
    <w:rsid w:val="0045742B"/>
    <w:rsid w:val="00461C4B"/>
    <w:rsid w:val="00464CD9"/>
    <w:rsid w:val="00465B60"/>
    <w:rsid w:val="00466395"/>
    <w:rsid w:val="0046670C"/>
    <w:rsid w:val="004668F9"/>
    <w:rsid w:val="00470DAD"/>
    <w:rsid w:val="00471042"/>
    <w:rsid w:val="004723FF"/>
    <w:rsid w:val="00472BDF"/>
    <w:rsid w:val="0047354F"/>
    <w:rsid w:val="0047359B"/>
    <w:rsid w:val="00473958"/>
    <w:rsid w:val="00473A98"/>
    <w:rsid w:val="00473CF6"/>
    <w:rsid w:val="00475416"/>
    <w:rsid w:val="00475A4C"/>
    <w:rsid w:val="00475B85"/>
    <w:rsid w:val="004760CC"/>
    <w:rsid w:val="0047701A"/>
    <w:rsid w:val="00480AFB"/>
    <w:rsid w:val="0048250A"/>
    <w:rsid w:val="00483C78"/>
    <w:rsid w:val="00483C8B"/>
    <w:rsid w:val="00484119"/>
    <w:rsid w:val="00484173"/>
    <w:rsid w:val="00484262"/>
    <w:rsid w:val="00484E66"/>
    <w:rsid w:val="00484FE0"/>
    <w:rsid w:val="00485995"/>
    <w:rsid w:val="0048737B"/>
    <w:rsid w:val="00487E66"/>
    <w:rsid w:val="00487E74"/>
    <w:rsid w:val="004906DD"/>
    <w:rsid w:val="0049074E"/>
    <w:rsid w:val="00495A86"/>
    <w:rsid w:val="00496172"/>
    <w:rsid w:val="004962C0"/>
    <w:rsid w:val="004968E5"/>
    <w:rsid w:val="004A32A3"/>
    <w:rsid w:val="004A3BDC"/>
    <w:rsid w:val="004A76D2"/>
    <w:rsid w:val="004A7EC5"/>
    <w:rsid w:val="004A7F3D"/>
    <w:rsid w:val="004B0750"/>
    <w:rsid w:val="004B31AA"/>
    <w:rsid w:val="004B34C3"/>
    <w:rsid w:val="004B396A"/>
    <w:rsid w:val="004B502E"/>
    <w:rsid w:val="004B5564"/>
    <w:rsid w:val="004B5FDF"/>
    <w:rsid w:val="004B6EB7"/>
    <w:rsid w:val="004B7655"/>
    <w:rsid w:val="004C0E38"/>
    <w:rsid w:val="004C1397"/>
    <w:rsid w:val="004C1A0F"/>
    <w:rsid w:val="004C223E"/>
    <w:rsid w:val="004C247C"/>
    <w:rsid w:val="004C48BC"/>
    <w:rsid w:val="004C5C0F"/>
    <w:rsid w:val="004C7B31"/>
    <w:rsid w:val="004D19AD"/>
    <w:rsid w:val="004D1F7B"/>
    <w:rsid w:val="004D314C"/>
    <w:rsid w:val="004D502F"/>
    <w:rsid w:val="004D6100"/>
    <w:rsid w:val="004D6894"/>
    <w:rsid w:val="004D742B"/>
    <w:rsid w:val="004D7A60"/>
    <w:rsid w:val="004E073A"/>
    <w:rsid w:val="004E3F68"/>
    <w:rsid w:val="004E4074"/>
    <w:rsid w:val="004E59E5"/>
    <w:rsid w:val="004E6438"/>
    <w:rsid w:val="004E646B"/>
    <w:rsid w:val="004F0DA6"/>
    <w:rsid w:val="004F39A8"/>
    <w:rsid w:val="004F3D48"/>
    <w:rsid w:val="004F3F7E"/>
    <w:rsid w:val="004F4F2D"/>
    <w:rsid w:val="004F5DC1"/>
    <w:rsid w:val="004F692B"/>
    <w:rsid w:val="004F75A6"/>
    <w:rsid w:val="00500010"/>
    <w:rsid w:val="00500D8B"/>
    <w:rsid w:val="00502588"/>
    <w:rsid w:val="00502A48"/>
    <w:rsid w:val="00504C5C"/>
    <w:rsid w:val="00505C13"/>
    <w:rsid w:val="00505EBB"/>
    <w:rsid w:val="00506E4B"/>
    <w:rsid w:val="00507205"/>
    <w:rsid w:val="0050787D"/>
    <w:rsid w:val="00507C97"/>
    <w:rsid w:val="005101F2"/>
    <w:rsid w:val="005105E4"/>
    <w:rsid w:val="005106F6"/>
    <w:rsid w:val="005107FB"/>
    <w:rsid w:val="005112A0"/>
    <w:rsid w:val="0051221B"/>
    <w:rsid w:val="00513144"/>
    <w:rsid w:val="0051322A"/>
    <w:rsid w:val="00513735"/>
    <w:rsid w:val="00514983"/>
    <w:rsid w:val="0051537C"/>
    <w:rsid w:val="00517800"/>
    <w:rsid w:val="0052113D"/>
    <w:rsid w:val="0052146C"/>
    <w:rsid w:val="00521560"/>
    <w:rsid w:val="00521D89"/>
    <w:rsid w:val="00522C06"/>
    <w:rsid w:val="00523647"/>
    <w:rsid w:val="005236A1"/>
    <w:rsid w:val="00523C0F"/>
    <w:rsid w:val="00523FE9"/>
    <w:rsid w:val="0052492C"/>
    <w:rsid w:val="00525352"/>
    <w:rsid w:val="005274B6"/>
    <w:rsid w:val="0052793A"/>
    <w:rsid w:val="00527A73"/>
    <w:rsid w:val="0053267A"/>
    <w:rsid w:val="00533741"/>
    <w:rsid w:val="00540F0C"/>
    <w:rsid w:val="005434EB"/>
    <w:rsid w:val="00545488"/>
    <w:rsid w:val="00545870"/>
    <w:rsid w:val="0054620A"/>
    <w:rsid w:val="00550CCB"/>
    <w:rsid w:val="0055291C"/>
    <w:rsid w:val="00555071"/>
    <w:rsid w:val="00556181"/>
    <w:rsid w:val="00556ED3"/>
    <w:rsid w:val="00560DCC"/>
    <w:rsid w:val="00560F72"/>
    <w:rsid w:val="00561AA2"/>
    <w:rsid w:val="00562457"/>
    <w:rsid w:val="0056253B"/>
    <w:rsid w:val="005634A2"/>
    <w:rsid w:val="00564081"/>
    <w:rsid w:val="00565F52"/>
    <w:rsid w:val="00570AA2"/>
    <w:rsid w:val="0057414E"/>
    <w:rsid w:val="005748FD"/>
    <w:rsid w:val="00575C16"/>
    <w:rsid w:val="00575E6F"/>
    <w:rsid w:val="00581683"/>
    <w:rsid w:val="005818FF"/>
    <w:rsid w:val="00583469"/>
    <w:rsid w:val="0058587D"/>
    <w:rsid w:val="005909C9"/>
    <w:rsid w:val="0059269A"/>
    <w:rsid w:val="00593041"/>
    <w:rsid w:val="0059399D"/>
    <w:rsid w:val="00594CDE"/>
    <w:rsid w:val="00595807"/>
    <w:rsid w:val="0059798F"/>
    <w:rsid w:val="00597BC3"/>
    <w:rsid w:val="005A0B05"/>
    <w:rsid w:val="005A2A0F"/>
    <w:rsid w:val="005A3AB7"/>
    <w:rsid w:val="005A4591"/>
    <w:rsid w:val="005A57B8"/>
    <w:rsid w:val="005A65D5"/>
    <w:rsid w:val="005A6786"/>
    <w:rsid w:val="005A69C7"/>
    <w:rsid w:val="005A6D08"/>
    <w:rsid w:val="005A7EB6"/>
    <w:rsid w:val="005B001F"/>
    <w:rsid w:val="005B3747"/>
    <w:rsid w:val="005B4BEF"/>
    <w:rsid w:val="005B4C33"/>
    <w:rsid w:val="005B51BE"/>
    <w:rsid w:val="005B58E3"/>
    <w:rsid w:val="005C032F"/>
    <w:rsid w:val="005C155D"/>
    <w:rsid w:val="005C226E"/>
    <w:rsid w:val="005C242E"/>
    <w:rsid w:val="005C462B"/>
    <w:rsid w:val="005C6F03"/>
    <w:rsid w:val="005D033A"/>
    <w:rsid w:val="005D1DB8"/>
    <w:rsid w:val="005D1FBF"/>
    <w:rsid w:val="005D28FD"/>
    <w:rsid w:val="005D30A2"/>
    <w:rsid w:val="005D40DA"/>
    <w:rsid w:val="005D4E67"/>
    <w:rsid w:val="005D6992"/>
    <w:rsid w:val="005D7530"/>
    <w:rsid w:val="005D7F19"/>
    <w:rsid w:val="005E0285"/>
    <w:rsid w:val="005E07AD"/>
    <w:rsid w:val="005E15FD"/>
    <w:rsid w:val="005E1B92"/>
    <w:rsid w:val="005E3F92"/>
    <w:rsid w:val="005E46AB"/>
    <w:rsid w:val="005E4857"/>
    <w:rsid w:val="005E6201"/>
    <w:rsid w:val="005E6DE9"/>
    <w:rsid w:val="005E72BA"/>
    <w:rsid w:val="005E7340"/>
    <w:rsid w:val="005E7373"/>
    <w:rsid w:val="005E7AFE"/>
    <w:rsid w:val="005E7D9D"/>
    <w:rsid w:val="005F0978"/>
    <w:rsid w:val="005F1D86"/>
    <w:rsid w:val="005F2148"/>
    <w:rsid w:val="005F225A"/>
    <w:rsid w:val="005F2DD7"/>
    <w:rsid w:val="005F36BA"/>
    <w:rsid w:val="005F43E2"/>
    <w:rsid w:val="005F46F7"/>
    <w:rsid w:val="005F4D8C"/>
    <w:rsid w:val="005F6016"/>
    <w:rsid w:val="005F6D6C"/>
    <w:rsid w:val="0060010D"/>
    <w:rsid w:val="00600D68"/>
    <w:rsid w:val="00603288"/>
    <w:rsid w:val="00604109"/>
    <w:rsid w:val="00606793"/>
    <w:rsid w:val="00607D77"/>
    <w:rsid w:val="00607FD5"/>
    <w:rsid w:val="00610662"/>
    <w:rsid w:val="006111F1"/>
    <w:rsid w:val="00612136"/>
    <w:rsid w:val="006122B4"/>
    <w:rsid w:val="00615845"/>
    <w:rsid w:val="006162D1"/>
    <w:rsid w:val="006167F3"/>
    <w:rsid w:val="006173FD"/>
    <w:rsid w:val="0061764E"/>
    <w:rsid w:val="00620345"/>
    <w:rsid w:val="00621D4B"/>
    <w:rsid w:val="006229D1"/>
    <w:rsid w:val="00624FA3"/>
    <w:rsid w:val="00625453"/>
    <w:rsid w:val="0062789C"/>
    <w:rsid w:val="00630BF9"/>
    <w:rsid w:val="00630E66"/>
    <w:rsid w:val="006310D8"/>
    <w:rsid w:val="00631816"/>
    <w:rsid w:val="006328D1"/>
    <w:rsid w:val="00632B7D"/>
    <w:rsid w:val="00634449"/>
    <w:rsid w:val="00635235"/>
    <w:rsid w:val="00636CFC"/>
    <w:rsid w:val="00637AF4"/>
    <w:rsid w:val="006403E5"/>
    <w:rsid w:val="00641131"/>
    <w:rsid w:val="00643158"/>
    <w:rsid w:val="0064633B"/>
    <w:rsid w:val="006465C5"/>
    <w:rsid w:val="00646FAA"/>
    <w:rsid w:val="0064735A"/>
    <w:rsid w:val="00650133"/>
    <w:rsid w:val="006508F8"/>
    <w:rsid w:val="00652BFB"/>
    <w:rsid w:val="006536AA"/>
    <w:rsid w:val="00654769"/>
    <w:rsid w:val="00654BC0"/>
    <w:rsid w:val="0065530A"/>
    <w:rsid w:val="00656CA9"/>
    <w:rsid w:val="00657A61"/>
    <w:rsid w:val="00662128"/>
    <w:rsid w:val="00662D84"/>
    <w:rsid w:val="006637E9"/>
    <w:rsid w:val="0066456D"/>
    <w:rsid w:val="006651D5"/>
    <w:rsid w:val="0066534B"/>
    <w:rsid w:val="00665A3E"/>
    <w:rsid w:val="00665CB5"/>
    <w:rsid w:val="0066771D"/>
    <w:rsid w:val="006707EC"/>
    <w:rsid w:val="00671536"/>
    <w:rsid w:val="00672FFC"/>
    <w:rsid w:val="006759F5"/>
    <w:rsid w:val="00675B4F"/>
    <w:rsid w:val="00676216"/>
    <w:rsid w:val="00676E5D"/>
    <w:rsid w:val="00680149"/>
    <w:rsid w:val="00680567"/>
    <w:rsid w:val="00682660"/>
    <w:rsid w:val="0068315A"/>
    <w:rsid w:val="00683BC8"/>
    <w:rsid w:val="006854F6"/>
    <w:rsid w:val="00691A8C"/>
    <w:rsid w:val="00692588"/>
    <w:rsid w:val="00692903"/>
    <w:rsid w:val="00692D73"/>
    <w:rsid w:val="00693654"/>
    <w:rsid w:val="0069378D"/>
    <w:rsid w:val="006940C5"/>
    <w:rsid w:val="006943BF"/>
    <w:rsid w:val="00694C1B"/>
    <w:rsid w:val="006966A7"/>
    <w:rsid w:val="006970E9"/>
    <w:rsid w:val="00697C5A"/>
    <w:rsid w:val="006A1F25"/>
    <w:rsid w:val="006A25F5"/>
    <w:rsid w:val="006A2D9A"/>
    <w:rsid w:val="006A5329"/>
    <w:rsid w:val="006A5549"/>
    <w:rsid w:val="006A59EF"/>
    <w:rsid w:val="006A680D"/>
    <w:rsid w:val="006A7104"/>
    <w:rsid w:val="006A7444"/>
    <w:rsid w:val="006A7F6D"/>
    <w:rsid w:val="006B0B18"/>
    <w:rsid w:val="006B30C7"/>
    <w:rsid w:val="006B773E"/>
    <w:rsid w:val="006B7844"/>
    <w:rsid w:val="006B7968"/>
    <w:rsid w:val="006B7E60"/>
    <w:rsid w:val="006C0092"/>
    <w:rsid w:val="006C0B9D"/>
    <w:rsid w:val="006C0D2B"/>
    <w:rsid w:val="006C3E08"/>
    <w:rsid w:val="006C40D7"/>
    <w:rsid w:val="006C4517"/>
    <w:rsid w:val="006C5F3C"/>
    <w:rsid w:val="006C60FC"/>
    <w:rsid w:val="006D0053"/>
    <w:rsid w:val="006D0085"/>
    <w:rsid w:val="006D16BC"/>
    <w:rsid w:val="006D3065"/>
    <w:rsid w:val="006D6A27"/>
    <w:rsid w:val="006D79D5"/>
    <w:rsid w:val="006E02E6"/>
    <w:rsid w:val="006E0466"/>
    <w:rsid w:val="006E214C"/>
    <w:rsid w:val="006E2903"/>
    <w:rsid w:val="006E2ADB"/>
    <w:rsid w:val="006E4240"/>
    <w:rsid w:val="006F1A42"/>
    <w:rsid w:val="006F4684"/>
    <w:rsid w:val="006F6B5B"/>
    <w:rsid w:val="006F6C57"/>
    <w:rsid w:val="006F7404"/>
    <w:rsid w:val="0070101A"/>
    <w:rsid w:val="00701E35"/>
    <w:rsid w:val="00701FB2"/>
    <w:rsid w:val="007021E7"/>
    <w:rsid w:val="00705702"/>
    <w:rsid w:val="00707E45"/>
    <w:rsid w:val="00711EA3"/>
    <w:rsid w:val="00715C6A"/>
    <w:rsid w:val="00716A60"/>
    <w:rsid w:val="00717115"/>
    <w:rsid w:val="00717198"/>
    <w:rsid w:val="0071720F"/>
    <w:rsid w:val="00717371"/>
    <w:rsid w:val="0071793C"/>
    <w:rsid w:val="00720667"/>
    <w:rsid w:val="0072285B"/>
    <w:rsid w:val="00722B15"/>
    <w:rsid w:val="007240FE"/>
    <w:rsid w:val="00724B0A"/>
    <w:rsid w:val="0072549F"/>
    <w:rsid w:val="007258F0"/>
    <w:rsid w:val="007277AA"/>
    <w:rsid w:val="00727865"/>
    <w:rsid w:val="00730503"/>
    <w:rsid w:val="00732F0C"/>
    <w:rsid w:val="00733011"/>
    <w:rsid w:val="007336DA"/>
    <w:rsid w:val="00733902"/>
    <w:rsid w:val="00734C02"/>
    <w:rsid w:val="00735462"/>
    <w:rsid w:val="00735698"/>
    <w:rsid w:val="00735FAD"/>
    <w:rsid w:val="00736049"/>
    <w:rsid w:val="0073706A"/>
    <w:rsid w:val="00740033"/>
    <w:rsid w:val="00740100"/>
    <w:rsid w:val="0074017B"/>
    <w:rsid w:val="00740201"/>
    <w:rsid w:val="007403FB"/>
    <w:rsid w:val="007416B2"/>
    <w:rsid w:val="00742397"/>
    <w:rsid w:val="00742BA1"/>
    <w:rsid w:val="00742CEE"/>
    <w:rsid w:val="00742E94"/>
    <w:rsid w:val="00743A1F"/>
    <w:rsid w:val="007462FA"/>
    <w:rsid w:val="007500E1"/>
    <w:rsid w:val="00751DF1"/>
    <w:rsid w:val="00752D3F"/>
    <w:rsid w:val="00752F13"/>
    <w:rsid w:val="007548FC"/>
    <w:rsid w:val="00756F71"/>
    <w:rsid w:val="00757802"/>
    <w:rsid w:val="0076049B"/>
    <w:rsid w:val="00761189"/>
    <w:rsid w:val="00763EE5"/>
    <w:rsid w:val="00764A69"/>
    <w:rsid w:val="00765075"/>
    <w:rsid w:val="0076730E"/>
    <w:rsid w:val="0076740E"/>
    <w:rsid w:val="00767967"/>
    <w:rsid w:val="00767E7D"/>
    <w:rsid w:val="007705D2"/>
    <w:rsid w:val="0077123F"/>
    <w:rsid w:val="007712DD"/>
    <w:rsid w:val="007713AD"/>
    <w:rsid w:val="00772333"/>
    <w:rsid w:val="00774EF4"/>
    <w:rsid w:val="0077547F"/>
    <w:rsid w:val="00775799"/>
    <w:rsid w:val="0078269B"/>
    <w:rsid w:val="00782805"/>
    <w:rsid w:val="007843F5"/>
    <w:rsid w:val="007863AE"/>
    <w:rsid w:val="00786B23"/>
    <w:rsid w:val="00786E33"/>
    <w:rsid w:val="00787736"/>
    <w:rsid w:val="0078797A"/>
    <w:rsid w:val="00790042"/>
    <w:rsid w:val="00792B8E"/>
    <w:rsid w:val="0079316D"/>
    <w:rsid w:val="007931A3"/>
    <w:rsid w:val="0079413E"/>
    <w:rsid w:val="0079597D"/>
    <w:rsid w:val="007A07F1"/>
    <w:rsid w:val="007A1870"/>
    <w:rsid w:val="007A1C57"/>
    <w:rsid w:val="007A316C"/>
    <w:rsid w:val="007A38B5"/>
    <w:rsid w:val="007A4B10"/>
    <w:rsid w:val="007A51CD"/>
    <w:rsid w:val="007A6A09"/>
    <w:rsid w:val="007A6B70"/>
    <w:rsid w:val="007B2489"/>
    <w:rsid w:val="007B2DBB"/>
    <w:rsid w:val="007B304A"/>
    <w:rsid w:val="007B3CEB"/>
    <w:rsid w:val="007B55B1"/>
    <w:rsid w:val="007B5FC8"/>
    <w:rsid w:val="007B6F23"/>
    <w:rsid w:val="007B7517"/>
    <w:rsid w:val="007B7C48"/>
    <w:rsid w:val="007C06E7"/>
    <w:rsid w:val="007C182E"/>
    <w:rsid w:val="007C185B"/>
    <w:rsid w:val="007C1ED1"/>
    <w:rsid w:val="007C2171"/>
    <w:rsid w:val="007C2440"/>
    <w:rsid w:val="007C2A96"/>
    <w:rsid w:val="007C3646"/>
    <w:rsid w:val="007C3F7E"/>
    <w:rsid w:val="007C63BE"/>
    <w:rsid w:val="007C7B34"/>
    <w:rsid w:val="007D0253"/>
    <w:rsid w:val="007D0F9E"/>
    <w:rsid w:val="007D2666"/>
    <w:rsid w:val="007D291E"/>
    <w:rsid w:val="007D69F0"/>
    <w:rsid w:val="007E0812"/>
    <w:rsid w:val="007E2337"/>
    <w:rsid w:val="007E2517"/>
    <w:rsid w:val="007E34D1"/>
    <w:rsid w:val="007E421B"/>
    <w:rsid w:val="007E6D0F"/>
    <w:rsid w:val="007E72B7"/>
    <w:rsid w:val="007F30B9"/>
    <w:rsid w:val="007F50DF"/>
    <w:rsid w:val="007F5413"/>
    <w:rsid w:val="007F5EE6"/>
    <w:rsid w:val="007F65ED"/>
    <w:rsid w:val="007F7C4D"/>
    <w:rsid w:val="00800C11"/>
    <w:rsid w:val="0080408F"/>
    <w:rsid w:val="00804474"/>
    <w:rsid w:val="00807FEE"/>
    <w:rsid w:val="00811C28"/>
    <w:rsid w:val="00813F41"/>
    <w:rsid w:val="0081412E"/>
    <w:rsid w:val="00815309"/>
    <w:rsid w:val="00820897"/>
    <w:rsid w:val="00820C85"/>
    <w:rsid w:val="00822BCC"/>
    <w:rsid w:val="00823365"/>
    <w:rsid w:val="00824ABF"/>
    <w:rsid w:val="00824C50"/>
    <w:rsid w:val="00824C99"/>
    <w:rsid w:val="00824E44"/>
    <w:rsid w:val="00825481"/>
    <w:rsid w:val="00827036"/>
    <w:rsid w:val="00830BF3"/>
    <w:rsid w:val="00830DAD"/>
    <w:rsid w:val="00831F55"/>
    <w:rsid w:val="00832A09"/>
    <w:rsid w:val="00833AB6"/>
    <w:rsid w:val="008351B4"/>
    <w:rsid w:val="008409CF"/>
    <w:rsid w:val="00841099"/>
    <w:rsid w:val="00841C48"/>
    <w:rsid w:val="008444EF"/>
    <w:rsid w:val="0084463F"/>
    <w:rsid w:val="00845B70"/>
    <w:rsid w:val="00846B54"/>
    <w:rsid w:val="00846DD4"/>
    <w:rsid w:val="00850E7B"/>
    <w:rsid w:val="00851403"/>
    <w:rsid w:val="008520EE"/>
    <w:rsid w:val="00852351"/>
    <w:rsid w:val="00853AD8"/>
    <w:rsid w:val="008559A8"/>
    <w:rsid w:val="00856025"/>
    <w:rsid w:val="00856227"/>
    <w:rsid w:val="00856470"/>
    <w:rsid w:val="008564F8"/>
    <w:rsid w:val="0085681F"/>
    <w:rsid w:val="00856D11"/>
    <w:rsid w:val="00857366"/>
    <w:rsid w:val="00857EAD"/>
    <w:rsid w:val="00857EDC"/>
    <w:rsid w:val="00857F6E"/>
    <w:rsid w:val="0086069C"/>
    <w:rsid w:val="00860F05"/>
    <w:rsid w:val="00863FE2"/>
    <w:rsid w:val="008642B3"/>
    <w:rsid w:val="008660C5"/>
    <w:rsid w:val="00867E85"/>
    <w:rsid w:val="00870DBA"/>
    <w:rsid w:val="00870DD6"/>
    <w:rsid w:val="00871898"/>
    <w:rsid w:val="00872479"/>
    <w:rsid w:val="0087284A"/>
    <w:rsid w:val="00872A6E"/>
    <w:rsid w:val="0087323E"/>
    <w:rsid w:val="008732F3"/>
    <w:rsid w:val="008737C6"/>
    <w:rsid w:val="00874BE0"/>
    <w:rsid w:val="00877A24"/>
    <w:rsid w:val="00882C3E"/>
    <w:rsid w:val="00883832"/>
    <w:rsid w:val="00884155"/>
    <w:rsid w:val="00884611"/>
    <w:rsid w:val="008846D7"/>
    <w:rsid w:val="00885A65"/>
    <w:rsid w:val="0088616F"/>
    <w:rsid w:val="0089034A"/>
    <w:rsid w:val="0089251A"/>
    <w:rsid w:val="008945B9"/>
    <w:rsid w:val="0089480A"/>
    <w:rsid w:val="00895C36"/>
    <w:rsid w:val="00895DDF"/>
    <w:rsid w:val="00896084"/>
    <w:rsid w:val="008961D6"/>
    <w:rsid w:val="0089636B"/>
    <w:rsid w:val="00896431"/>
    <w:rsid w:val="00897E6A"/>
    <w:rsid w:val="008A2570"/>
    <w:rsid w:val="008A3D79"/>
    <w:rsid w:val="008A49D6"/>
    <w:rsid w:val="008A4E4D"/>
    <w:rsid w:val="008A7013"/>
    <w:rsid w:val="008A71F3"/>
    <w:rsid w:val="008B0102"/>
    <w:rsid w:val="008B0912"/>
    <w:rsid w:val="008B37B5"/>
    <w:rsid w:val="008B4287"/>
    <w:rsid w:val="008B446D"/>
    <w:rsid w:val="008B6BD5"/>
    <w:rsid w:val="008B6DE5"/>
    <w:rsid w:val="008B6F86"/>
    <w:rsid w:val="008B6F93"/>
    <w:rsid w:val="008B7AE7"/>
    <w:rsid w:val="008C0C83"/>
    <w:rsid w:val="008C0CFD"/>
    <w:rsid w:val="008C1FB5"/>
    <w:rsid w:val="008C51A7"/>
    <w:rsid w:val="008C773A"/>
    <w:rsid w:val="008D12D1"/>
    <w:rsid w:val="008D1F45"/>
    <w:rsid w:val="008D35C5"/>
    <w:rsid w:val="008D5EB2"/>
    <w:rsid w:val="008D6105"/>
    <w:rsid w:val="008D62AA"/>
    <w:rsid w:val="008D6695"/>
    <w:rsid w:val="008D6A11"/>
    <w:rsid w:val="008D77CC"/>
    <w:rsid w:val="008E0B7A"/>
    <w:rsid w:val="008E2AE5"/>
    <w:rsid w:val="008E3500"/>
    <w:rsid w:val="008E3F2C"/>
    <w:rsid w:val="008E5BB7"/>
    <w:rsid w:val="008E5DF6"/>
    <w:rsid w:val="008E78B2"/>
    <w:rsid w:val="008F0137"/>
    <w:rsid w:val="008F0E05"/>
    <w:rsid w:val="008F0E41"/>
    <w:rsid w:val="008F1F43"/>
    <w:rsid w:val="008F294E"/>
    <w:rsid w:val="008F4184"/>
    <w:rsid w:val="008F59EE"/>
    <w:rsid w:val="008F5E65"/>
    <w:rsid w:val="009007C5"/>
    <w:rsid w:val="00900F6A"/>
    <w:rsid w:val="0090154B"/>
    <w:rsid w:val="009021DA"/>
    <w:rsid w:val="0090247D"/>
    <w:rsid w:val="00902BD6"/>
    <w:rsid w:val="0090455B"/>
    <w:rsid w:val="00904B27"/>
    <w:rsid w:val="00904DCF"/>
    <w:rsid w:val="009057B3"/>
    <w:rsid w:val="009065DF"/>
    <w:rsid w:val="009072C9"/>
    <w:rsid w:val="00911695"/>
    <w:rsid w:val="0091189C"/>
    <w:rsid w:val="009118EE"/>
    <w:rsid w:val="009135BB"/>
    <w:rsid w:val="00914357"/>
    <w:rsid w:val="00915073"/>
    <w:rsid w:val="00915A1B"/>
    <w:rsid w:val="00921C58"/>
    <w:rsid w:val="0092335E"/>
    <w:rsid w:val="009254F5"/>
    <w:rsid w:val="009268AA"/>
    <w:rsid w:val="0092751B"/>
    <w:rsid w:val="0092797C"/>
    <w:rsid w:val="00927B61"/>
    <w:rsid w:val="00930553"/>
    <w:rsid w:val="009319A3"/>
    <w:rsid w:val="00933D82"/>
    <w:rsid w:val="00933F82"/>
    <w:rsid w:val="009342E4"/>
    <w:rsid w:val="00934C15"/>
    <w:rsid w:val="00934FB8"/>
    <w:rsid w:val="00935F21"/>
    <w:rsid w:val="009364D0"/>
    <w:rsid w:val="0094086E"/>
    <w:rsid w:val="00940C09"/>
    <w:rsid w:val="009413D9"/>
    <w:rsid w:val="00941DEF"/>
    <w:rsid w:val="00942941"/>
    <w:rsid w:val="00942BC2"/>
    <w:rsid w:val="00947012"/>
    <w:rsid w:val="00947601"/>
    <w:rsid w:val="00951213"/>
    <w:rsid w:val="009515E4"/>
    <w:rsid w:val="00952014"/>
    <w:rsid w:val="00954BE0"/>
    <w:rsid w:val="009550C0"/>
    <w:rsid w:val="00960CDE"/>
    <w:rsid w:val="00960E26"/>
    <w:rsid w:val="00963E1B"/>
    <w:rsid w:val="00964EB9"/>
    <w:rsid w:val="0096579F"/>
    <w:rsid w:val="009662A9"/>
    <w:rsid w:val="00967DE6"/>
    <w:rsid w:val="00967FD7"/>
    <w:rsid w:val="00970B73"/>
    <w:rsid w:val="00971CD1"/>
    <w:rsid w:val="00971D04"/>
    <w:rsid w:val="00973343"/>
    <w:rsid w:val="00980CCA"/>
    <w:rsid w:val="00982F34"/>
    <w:rsid w:val="00983A6D"/>
    <w:rsid w:val="0098412A"/>
    <w:rsid w:val="00985558"/>
    <w:rsid w:val="00986548"/>
    <w:rsid w:val="00987472"/>
    <w:rsid w:val="00990C7A"/>
    <w:rsid w:val="00991621"/>
    <w:rsid w:val="00991E15"/>
    <w:rsid w:val="009927C3"/>
    <w:rsid w:val="009947E7"/>
    <w:rsid w:val="00995F61"/>
    <w:rsid w:val="00996C10"/>
    <w:rsid w:val="009970CF"/>
    <w:rsid w:val="00997DDA"/>
    <w:rsid w:val="009A1073"/>
    <w:rsid w:val="009A158A"/>
    <w:rsid w:val="009A4A78"/>
    <w:rsid w:val="009A5464"/>
    <w:rsid w:val="009A561A"/>
    <w:rsid w:val="009A579F"/>
    <w:rsid w:val="009A5EAC"/>
    <w:rsid w:val="009A7E95"/>
    <w:rsid w:val="009B1016"/>
    <w:rsid w:val="009B417D"/>
    <w:rsid w:val="009B42FB"/>
    <w:rsid w:val="009B659C"/>
    <w:rsid w:val="009B741F"/>
    <w:rsid w:val="009C076C"/>
    <w:rsid w:val="009C14D7"/>
    <w:rsid w:val="009C21E0"/>
    <w:rsid w:val="009C2C3A"/>
    <w:rsid w:val="009C31A3"/>
    <w:rsid w:val="009C4A13"/>
    <w:rsid w:val="009C4F8E"/>
    <w:rsid w:val="009C6737"/>
    <w:rsid w:val="009D11CB"/>
    <w:rsid w:val="009D27CB"/>
    <w:rsid w:val="009D3542"/>
    <w:rsid w:val="009D422D"/>
    <w:rsid w:val="009D5553"/>
    <w:rsid w:val="009D5E3A"/>
    <w:rsid w:val="009D6240"/>
    <w:rsid w:val="009D6AFF"/>
    <w:rsid w:val="009E4546"/>
    <w:rsid w:val="009E4649"/>
    <w:rsid w:val="009E59E1"/>
    <w:rsid w:val="009F0898"/>
    <w:rsid w:val="009F2086"/>
    <w:rsid w:val="009F26A0"/>
    <w:rsid w:val="009F3616"/>
    <w:rsid w:val="009F38B8"/>
    <w:rsid w:val="009F3F30"/>
    <w:rsid w:val="009F4607"/>
    <w:rsid w:val="009F4DC3"/>
    <w:rsid w:val="009F6815"/>
    <w:rsid w:val="009F72C7"/>
    <w:rsid w:val="00A009EB"/>
    <w:rsid w:val="00A04810"/>
    <w:rsid w:val="00A05417"/>
    <w:rsid w:val="00A0641B"/>
    <w:rsid w:val="00A06471"/>
    <w:rsid w:val="00A11154"/>
    <w:rsid w:val="00A14B50"/>
    <w:rsid w:val="00A167D3"/>
    <w:rsid w:val="00A175F8"/>
    <w:rsid w:val="00A20628"/>
    <w:rsid w:val="00A215E7"/>
    <w:rsid w:val="00A219F6"/>
    <w:rsid w:val="00A21C67"/>
    <w:rsid w:val="00A22769"/>
    <w:rsid w:val="00A232BE"/>
    <w:rsid w:val="00A26878"/>
    <w:rsid w:val="00A26B71"/>
    <w:rsid w:val="00A26CF6"/>
    <w:rsid w:val="00A30D1B"/>
    <w:rsid w:val="00A31A0C"/>
    <w:rsid w:val="00A31A9C"/>
    <w:rsid w:val="00A32829"/>
    <w:rsid w:val="00A329DF"/>
    <w:rsid w:val="00A32E6C"/>
    <w:rsid w:val="00A33CFB"/>
    <w:rsid w:val="00A345E9"/>
    <w:rsid w:val="00A3617C"/>
    <w:rsid w:val="00A36806"/>
    <w:rsid w:val="00A36EFB"/>
    <w:rsid w:val="00A378C9"/>
    <w:rsid w:val="00A43907"/>
    <w:rsid w:val="00A43C27"/>
    <w:rsid w:val="00A43E58"/>
    <w:rsid w:val="00A4410C"/>
    <w:rsid w:val="00A441B6"/>
    <w:rsid w:val="00A45869"/>
    <w:rsid w:val="00A47199"/>
    <w:rsid w:val="00A51E63"/>
    <w:rsid w:val="00A52067"/>
    <w:rsid w:val="00A52DDB"/>
    <w:rsid w:val="00A5309C"/>
    <w:rsid w:val="00A55E0E"/>
    <w:rsid w:val="00A565AE"/>
    <w:rsid w:val="00A566D8"/>
    <w:rsid w:val="00A57980"/>
    <w:rsid w:val="00A6013C"/>
    <w:rsid w:val="00A60A0A"/>
    <w:rsid w:val="00A60DBE"/>
    <w:rsid w:val="00A62426"/>
    <w:rsid w:val="00A624F0"/>
    <w:rsid w:val="00A636CD"/>
    <w:rsid w:val="00A6667B"/>
    <w:rsid w:val="00A673A9"/>
    <w:rsid w:val="00A6799D"/>
    <w:rsid w:val="00A720C0"/>
    <w:rsid w:val="00A72806"/>
    <w:rsid w:val="00A769D9"/>
    <w:rsid w:val="00A76A00"/>
    <w:rsid w:val="00A76E17"/>
    <w:rsid w:val="00A76EB0"/>
    <w:rsid w:val="00A7707C"/>
    <w:rsid w:val="00A77B66"/>
    <w:rsid w:val="00A77BC9"/>
    <w:rsid w:val="00A801CA"/>
    <w:rsid w:val="00A82392"/>
    <w:rsid w:val="00A833AA"/>
    <w:rsid w:val="00A84BD8"/>
    <w:rsid w:val="00A86653"/>
    <w:rsid w:val="00A872A9"/>
    <w:rsid w:val="00A87FC9"/>
    <w:rsid w:val="00A92574"/>
    <w:rsid w:val="00A92FFE"/>
    <w:rsid w:val="00A94AFE"/>
    <w:rsid w:val="00A94BFB"/>
    <w:rsid w:val="00A9565F"/>
    <w:rsid w:val="00A97ECC"/>
    <w:rsid w:val="00AA2787"/>
    <w:rsid w:val="00AA279F"/>
    <w:rsid w:val="00AA412F"/>
    <w:rsid w:val="00AA5424"/>
    <w:rsid w:val="00AA5862"/>
    <w:rsid w:val="00AB01D9"/>
    <w:rsid w:val="00AB22BE"/>
    <w:rsid w:val="00AB266E"/>
    <w:rsid w:val="00AB272E"/>
    <w:rsid w:val="00AB34DC"/>
    <w:rsid w:val="00AB35F4"/>
    <w:rsid w:val="00AB3A93"/>
    <w:rsid w:val="00AB3C18"/>
    <w:rsid w:val="00AB6782"/>
    <w:rsid w:val="00AB6B17"/>
    <w:rsid w:val="00AB6DB5"/>
    <w:rsid w:val="00AB6FB7"/>
    <w:rsid w:val="00AB7ABF"/>
    <w:rsid w:val="00AB7CA9"/>
    <w:rsid w:val="00AC066D"/>
    <w:rsid w:val="00AC0AD9"/>
    <w:rsid w:val="00AC145B"/>
    <w:rsid w:val="00AC1FE5"/>
    <w:rsid w:val="00AC2379"/>
    <w:rsid w:val="00AC4F15"/>
    <w:rsid w:val="00AC5540"/>
    <w:rsid w:val="00AC62A2"/>
    <w:rsid w:val="00AC6F9F"/>
    <w:rsid w:val="00AC7BF7"/>
    <w:rsid w:val="00AD0330"/>
    <w:rsid w:val="00AD3290"/>
    <w:rsid w:val="00AD4775"/>
    <w:rsid w:val="00AD5FCF"/>
    <w:rsid w:val="00AD7D97"/>
    <w:rsid w:val="00AE00B8"/>
    <w:rsid w:val="00AE020E"/>
    <w:rsid w:val="00AE0F6E"/>
    <w:rsid w:val="00AE11DA"/>
    <w:rsid w:val="00AE28C6"/>
    <w:rsid w:val="00AE3356"/>
    <w:rsid w:val="00AE573D"/>
    <w:rsid w:val="00AE70BF"/>
    <w:rsid w:val="00AE70EE"/>
    <w:rsid w:val="00AF1050"/>
    <w:rsid w:val="00AF1F6F"/>
    <w:rsid w:val="00AF47F0"/>
    <w:rsid w:val="00AF553B"/>
    <w:rsid w:val="00B01F3B"/>
    <w:rsid w:val="00B01F62"/>
    <w:rsid w:val="00B02294"/>
    <w:rsid w:val="00B024C2"/>
    <w:rsid w:val="00B02613"/>
    <w:rsid w:val="00B04DAF"/>
    <w:rsid w:val="00B05348"/>
    <w:rsid w:val="00B055F5"/>
    <w:rsid w:val="00B06CC8"/>
    <w:rsid w:val="00B10338"/>
    <w:rsid w:val="00B1035B"/>
    <w:rsid w:val="00B1066A"/>
    <w:rsid w:val="00B1484D"/>
    <w:rsid w:val="00B151DD"/>
    <w:rsid w:val="00B158F1"/>
    <w:rsid w:val="00B17072"/>
    <w:rsid w:val="00B17B9E"/>
    <w:rsid w:val="00B21712"/>
    <w:rsid w:val="00B21A97"/>
    <w:rsid w:val="00B23BE1"/>
    <w:rsid w:val="00B244EB"/>
    <w:rsid w:val="00B256FD"/>
    <w:rsid w:val="00B27F6E"/>
    <w:rsid w:val="00B31060"/>
    <w:rsid w:val="00B3178F"/>
    <w:rsid w:val="00B31CE6"/>
    <w:rsid w:val="00B33685"/>
    <w:rsid w:val="00B341A3"/>
    <w:rsid w:val="00B34398"/>
    <w:rsid w:val="00B345EE"/>
    <w:rsid w:val="00B34C6C"/>
    <w:rsid w:val="00B351F8"/>
    <w:rsid w:val="00B35726"/>
    <w:rsid w:val="00B3580A"/>
    <w:rsid w:val="00B36C8E"/>
    <w:rsid w:val="00B37BEA"/>
    <w:rsid w:val="00B416E7"/>
    <w:rsid w:val="00B418B5"/>
    <w:rsid w:val="00B41DCE"/>
    <w:rsid w:val="00B42BBC"/>
    <w:rsid w:val="00B42F07"/>
    <w:rsid w:val="00B4363A"/>
    <w:rsid w:val="00B43B42"/>
    <w:rsid w:val="00B448CB"/>
    <w:rsid w:val="00B44969"/>
    <w:rsid w:val="00B44FA9"/>
    <w:rsid w:val="00B455BC"/>
    <w:rsid w:val="00B5050F"/>
    <w:rsid w:val="00B50D87"/>
    <w:rsid w:val="00B50F2F"/>
    <w:rsid w:val="00B525A6"/>
    <w:rsid w:val="00B53D00"/>
    <w:rsid w:val="00B54789"/>
    <w:rsid w:val="00B55696"/>
    <w:rsid w:val="00B56178"/>
    <w:rsid w:val="00B56502"/>
    <w:rsid w:val="00B5716F"/>
    <w:rsid w:val="00B609D2"/>
    <w:rsid w:val="00B6176C"/>
    <w:rsid w:val="00B61CB2"/>
    <w:rsid w:val="00B623CC"/>
    <w:rsid w:val="00B63380"/>
    <w:rsid w:val="00B64052"/>
    <w:rsid w:val="00B64B73"/>
    <w:rsid w:val="00B71018"/>
    <w:rsid w:val="00B71708"/>
    <w:rsid w:val="00B7270A"/>
    <w:rsid w:val="00B72B37"/>
    <w:rsid w:val="00B72BA2"/>
    <w:rsid w:val="00B74C39"/>
    <w:rsid w:val="00B76321"/>
    <w:rsid w:val="00B766BC"/>
    <w:rsid w:val="00B76B2F"/>
    <w:rsid w:val="00B77406"/>
    <w:rsid w:val="00B826C4"/>
    <w:rsid w:val="00B85D8C"/>
    <w:rsid w:val="00B91EF4"/>
    <w:rsid w:val="00B91F3B"/>
    <w:rsid w:val="00B94137"/>
    <w:rsid w:val="00B958E1"/>
    <w:rsid w:val="00B969CA"/>
    <w:rsid w:val="00B970B3"/>
    <w:rsid w:val="00BA7D80"/>
    <w:rsid w:val="00BB0379"/>
    <w:rsid w:val="00BB0BE0"/>
    <w:rsid w:val="00BB0C56"/>
    <w:rsid w:val="00BB2E58"/>
    <w:rsid w:val="00BB3F10"/>
    <w:rsid w:val="00BB451F"/>
    <w:rsid w:val="00BB4611"/>
    <w:rsid w:val="00BB598F"/>
    <w:rsid w:val="00BB5C4F"/>
    <w:rsid w:val="00BB6C17"/>
    <w:rsid w:val="00BB7039"/>
    <w:rsid w:val="00BC054C"/>
    <w:rsid w:val="00BC315F"/>
    <w:rsid w:val="00BC3854"/>
    <w:rsid w:val="00BC474E"/>
    <w:rsid w:val="00BC4B44"/>
    <w:rsid w:val="00BC6AC9"/>
    <w:rsid w:val="00BC71F2"/>
    <w:rsid w:val="00BD0B21"/>
    <w:rsid w:val="00BD193A"/>
    <w:rsid w:val="00BD1FDF"/>
    <w:rsid w:val="00BD2239"/>
    <w:rsid w:val="00BD2C5D"/>
    <w:rsid w:val="00BD4CC1"/>
    <w:rsid w:val="00BD5159"/>
    <w:rsid w:val="00BD5DAD"/>
    <w:rsid w:val="00BD6557"/>
    <w:rsid w:val="00BD74F3"/>
    <w:rsid w:val="00BE1E93"/>
    <w:rsid w:val="00BE44F7"/>
    <w:rsid w:val="00BE47AE"/>
    <w:rsid w:val="00BE498A"/>
    <w:rsid w:val="00BE562D"/>
    <w:rsid w:val="00BE5B21"/>
    <w:rsid w:val="00BE5E7A"/>
    <w:rsid w:val="00BE5EE2"/>
    <w:rsid w:val="00BE656B"/>
    <w:rsid w:val="00BE75E5"/>
    <w:rsid w:val="00BF0A7C"/>
    <w:rsid w:val="00BF0EB1"/>
    <w:rsid w:val="00BF2E46"/>
    <w:rsid w:val="00BF4254"/>
    <w:rsid w:val="00BF46DE"/>
    <w:rsid w:val="00BF60AE"/>
    <w:rsid w:val="00BF6F41"/>
    <w:rsid w:val="00C0040F"/>
    <w:rsid w:val="00C0189A"/>
    <w:rsid w:val="00C03865"/>
    <w:rsid w:val="00C04C9B"/>
    <w:rsid w:val="00C04CCB"/>
    <w:rsid w:val="00C06C21"/>
    <w:rsid w:val="00C075E0"/>
    <w:rsid w:val="00C0785D"/>
    <w:rsid w:val="00C1081E"/>
    <w:rsid w:val="00C12EA7"/>
    <w:rsid w:val="00C14E38"/>
    <w:rsid w:val="00C1640A"/>
    <w:rsid w:val="00C16E11"/>
    <w:rsid w:val="00C21A72"/>
    <w:rsid w:val="00C222AB"/>
    <w:rsid w:val="00C22931"/>
    <w:rsid w:val="00C22FDF"/>
    <w:rsid w:val="00C23563"/>
    <w:rsid w:val="00C238D0"/>
    <w:rsid w:val="00C23CAE"/>
    <w:rsid w:val="00C26F3A"/>
    <w:rsid w:val="00C30289"/>
    <w:rsid w:val="00C311C5"/>
    <w:rsid w:val="00C325D8"/>
    <w:rsid w:val="00C327D0"/>
    <w:rsid w:val="00C339C7"/>
    <w:rsid w:val="00C42A18"/>
    <w:rsid w:val="00C42EC0"/>
    <w:rsid w:val="00C43D44"/>
    <w:rsid w:val="00C4465D"/>
    <w:rsid w:val="00C46AD1"/>
    <w:rsid w:val="00C47F4D"/>
    <w:rsid w:val="00C52735"/>
    <w:rsid w:val="00C53ED4"/>
    <w:rsid w:val="00C540A4"/>
    <w:rsid w:val="00C54330"/>
    <w:rsid w:val="00C54CF1"/>
    <w:rsid w:val="00C567AC"/>
    <w:rsid w:val="00C5783C"/>
    <w:rsid w:val="00C57D02"/>
    <w:rsid w:val="00C60F43"/>
    <w:rsid w:val="00C61968"/>
    <w:rsid w:val="00C61A1C"/>
    <w:rsid w:val="00C61B7F"/>
    <w:rsid w:val="00C631CA"/>
    <w:rsid w:val="00C631EA"/>
    <w:rsid w:val="00C66434"/>
    <w:rsid w:val="00C666A3"/>
    <w:rsid w:val="00C67F85"/>
    <w:rsid w:val="00C70AE8"/>
    <w:rsid w:val="00C72A89"/>
    <w:rsid w:val="00C72C35"/>
    <w:rsid w:val="00C72ECC"/>
    <w:rsid w:val="00C73B68"/>
    <w:rsid w:val="00C74827"/>
    <w:rsid w:val="00C751BF"/>
    <w:rsid w:val="00C8062E"/>
    <w:rsid w:val="00C80F0F"/>
    <w:rsid w:val="00C80F4C"/>
    <w:rsid w:val="00C8118F"/>
    <w:rsid w:val="00C81278"/>
    <w:rsid w:val="00C83A73"/>
    <w:rsid w:val="00C852C5"/>
    <w:rsid w:val="00C8713C"/>
    <w:rsid w:val="00C907EC"/>
    <w:rsid w:val="00C90E30"/>
    <w:rsid w:val="00C94A4E"/>
    <w:rsid w:val="00C95CB9"/>
    <w:rsid w:val="00C96397"/>
    <w:rsid w:val="00C96DF8"/>
    <w:rsid w:val="00CA1D56"/>
    <w:rsid w:val="00CA218E"/>
    <w:rsid w:val="00CA29F9"/>
    <w:rsid w:val="00CA50C0"/>
    <w:rsid w:val="00CA613E"/>
    <w:rsid w:val="00CA63C4"/>
    <w:rsid w:val="00CA715E"/>
    <w:rsid w:val="00CA750F"/>
    <w:rsid w:val="00CA774F"/>
    <w:rsid w:val="00CB0AB4"/>
    <w:rsid w:val="00CB1139"/>
    <w:rsid w:val="00CB4E47"/>
    <w:rsid w:val="00CB5FBB"/>
    <w:rsid w:val="00CB7634"/>
    <w:rsid w:val="00CC11A9"/>
    <w:rsid w:val="00CC267D"/>
    <w:rsid w:val="00CC5CBE"/>
    <w:rsid w:val="00CC6E5E"/>
    <w:rsid w:val="00CC7052"/>
    <w:rsid w:val="00CD09E8"/>
    <w:rsid w:val="00CD0CB4"/>
    <w:rsid w:val="00CE024E"/>
    <w:rsid w:val="00CE4D1F"/>
    <w:rsid w:val="00CE6670"/>
    <w:rsid w:val="00CE670A"/>
    <w:rsid w:val="00CE7875"/>
    <w:rsid w:val="00CF1604"/>
    <w:rsid w:val="00CF1FDA"/>
    <w:rsid w:val="00CF2DD1"/>
    <w:rsid w:val="00CF3346"/>
    <w:rsid w:val="00CF5474"/>
    <w:rsid w:val="00CF549B"/>
    <w:rsid w:val="00CF68FF"/>
    <w:rsid w:val="00D01B56"/>
    <w:rsid w:val="00D01FB1"/>
    <w:rsid w:val="00D047DD"/>
    <w:rsid w:val="00D05176"/>
    <w:rsid w:val="00D05B16"/>
    <w:rsid w:val="00D06CEE"/>
    <w:rsid w:val="00D10242"/>
    <w:rsid w:val="00D10378"/>
    <w:rsid w:val="00D11031"/>
    <w:rsid w:val="00D1125F"/>
    <w:rsid w:val="00D11F06"/>
    <w:rsid w:val="00D1437C"/>
    <w:rsid w:val="00D158C2"/>
    <w:rsid w:val="00D17C1A"/>
    <w:rsid w:val="00D17E65"/>
    <w:rsid w:val="00D200D7"/>
    <w:rsid w:val="00D20D00"/>
    <w:rsid w:val="00D2124A"/>
    <w:rsid w:val="00D2250F"/>
    <w:rsid w:val="00D30AF2"/>
    <w:rsid w:val="00D33011"/>
    <w:rsid w:val="00D35B12"/>
    <w:rsid w:val="00D37B6E"/>
    <w:rsid w:val="00D407FC"/>
    <w:rsid w:val="00D419D2"/>
    <w:rsid w:val="00D4226E"/>
    <w:rsid w:val="00D4270E"/>
    <w:rsid w:val="00D42C58"/>
    <w:rsid w:val="00D44DE5"/>
    <w:rsid w:val="00D455EF"/>
    <w:rsid w:val="00D47117"/>
    <w:rsid w:val="00D4736F"/>
    <w:rsid w:val="00D50597"/>
    <w:rsid w:val="00D50700"/>
    <w:rsid w:val="00D50C12"/>
    <w:rsid w:val="00D51274"/>
    <w:rsid w:val="00D51754"/>
    <w:rsid w:val="00D52E56"/>
    <w:rsid w:val="00D530E1"/>
    <w:rsid w:val="00D53345"/>
    <w:rsid w:val="00D56B3B"/>
    <w:rsid w:val="00D57353"/>
    <w:rsid w:val="00D6476A"/>
    <w:rsid w:val="00D648EB"/>
    <w:rsid w:val="00D64C8B"/>
    <w:rsid w:val="00D64ED3"/>
    <w:rsid w:val="00D65B0C"/>
    <w:rsid w:val="00D65C38"/>
    <w:rsid w:val="00D7179E"/>
    <w:rsid w:val="00D718E0"/>
    <w:rsid w:val="00D73645"/>
    <w:rsid w:val="00D74EAA"/>
    <w:rsid w:val="00D751A3"/>
    <w:rsid w:val="00D75ADE"/>
    <w:rsid w:val="00D7769C"/>
    <w:rsid w:val="00D77E6B"/>
    <w:rsid w:val="00D80F71"/>
    <w:rsid w:val="00D833D9"/>
    <w:rsid w:val="00D83627"/>
    <w:rsid w:val="00D84D7A"/>
    <w:rsid w:val="00D90AD4"/>
    <w:rsid w:val="00D921F6"/>
    <w:rsid w:val="00D94D31"/>
    <w:rsid w:val="00D95734"/>
    <w:rsid w:val="00D96BB3"/>
    <w:rsid w:val="00D96C09"/>
    <w:rsid w:val="00D96EF1"/>
    <w:rsid w:val="00DA0AFA"/>
    <w:rsid w:val="00DA25E0"/>
    <w:rsid w:val="00DA2D70"/>
    <w:rsid w:val="00DA6272"/>
    <w:rsid w:val="00DB037B"/>
    <w:rsid w:val="00DB041C"/>
    <w:rsid w:val="00DB0977"/>
    <w:rsid w:val="00DB0C7B"/>
    <w:rsid w:val="00DB32BF"/>
    <w:rsid w:val="00DB5665"/>
    <w:rsid w:val="00DB5F8F"/>
    <w:rsid w:val="00DB691C"/>
    <w:rsid w:val="00DB7D34"/>
    <w:rsid w:val="00DC0077"/>
    <w:rsid w:val="00DC0AE3"/>
    <w:rsid w:val="00DC317B"/>
    <w:rsid w:val="00DC372A"/>
    <w:rsid w:val="00DC47CC"/>
    <w:rsid w:val="00DC5A49"/>
    <w:rsid w:val="00DC623F"/>
    <w:rsid w:val="00DC6961"/>
    <w:rsid w:val="00DC7B1B"/>
    <w:rsid w:val="00DD1841"/>
    <w:rsid w:val="00DD1CAA"/>
    <w:rsid w:val="00DD3B54"/>
    <w:rsid w:val="00DD41BC"/>
    <w:rsid w:val="00DD61C8"/>
    <w:rsid w:val="00DE01A1"/>
    <w:rsid w:val="00DE3DD8"/>
    <w:rsid w:val="00DE5DA5"/>
    <w:rsid w:val="00DF0B2E"/>
    <w:rsid w:val="00DF2073"/>
    <w:rsid w:val="00DF28DB"/>
    <w:rsid w:val="00DF2E06"/>
    <w:rsid w:val="00DF349B"/>
    <w:rsid w:val="00DF3C10"/>
    <w:rsid w:val="00DF3F7F"/>
    <w:rsid w:val="00DF45E3"/>
    <w:rsid w:val="00DF4BAC"/>
    <w:rsid w:val="00DF542B"/>
    <w:rsid w:val="00DF7601"/>
    <w:rsid w:val="00DF7917"/>
    <w:rsid w:val="00E00486"/>
    <w:rsid w:val="00E00AFD"/>
    <w:rsid w:val="00E015A8"/>
    <w:rsid w:val="00E01C19"/>
    <w:rsid w:val="00E0327D"/>
    <w:rsid w:val="00E06D3C"/>
    <w:rsid w:val="00E06FEA"/>
    <w:rsid w:val="00E10F1A"/>
    <w:rsid w:val="00E11673"/>
    <w:rsid w:val="00E11E01"/>
    <w:rsid w:val="00E131CC"/>
    <w:rsid w:val="00E136BE"/>
    <w:rsid w:val="00E1492D"/>
    <w:rsid w:val="00E1499E"/>
    <w:rsid w:val="00E14A75"/>
    <w:rsid w:val="00E157D6"/>
    <w:rsid w:val="00E15A58"/>
    <w:rsid w:val="00E160E3"/>
    <w:rsid w:val="00E20B21"/>
    <w:rsid w:val="00E21509"/>
    <w:rsid w:val="00E245E6"/>
    <w:rsid w:val="00E24A68"/>
    <w:rsid w:val="00E25536"/>
    <w:rsid w:val="00E25D21"/>
    <w:rsid w:val="00E25FF4"/>
    <w:rsid w:val="00E26159"/>
    <w:rsid w:val="00E269FF"/>
    <w:rsid w:val="00E27747"/>
    <w:rsid w:val="00E30262"/>
    <w:rsid w:val="00E34ADA"/>
    <w:rsid w:val="00E356D9"/>
    <w:rsid w:val="00E35BA0"/>
    <w:rsid w:val="00E361A3"/>
    <w:rsid w:val="00E43728"/>
    <w:rsid w:val="00E43C23"/>
    <w:rsid w:val="00E4432B"/>
    <w:rsid w:val="00E448F8"/>
    <w:rsid w:val="00E44A50"/>
    <w:rsid w:val="00E455E9"/>
    <w:rsid w:val="00E5456E"/>
    <w:rsid w:val="00E5549C"/>
    <w:rsid w:val="00E60A61"/>
    <w:rsid w:val="00E60D18"/>
    <w:rsid w:val="00E624FC"/>
    <w:rsid w:val="00E62CE5"/>
    <w:rsid w:val="00E63B70"/>
    <w:rsid w:val="00E63BCA"/>
    <w:rsid w:val="00E6544D"/>
    <w:rsid w:val="00E658ED"/>
    <w:rsid w:val="00E66091"/>
    <w:rsid w:val="00E66175"/>
    <w:rsid w:val="00E66577"/>
    <w:rsid w:val="00E66EC3"/>
    <w:rsid w:val="00E70443"/>
    <w:rsid w:val="00E7047C"/>
    <w:rsid w:val="00E705E4"/>
    <w:rsid w:val="00E75B78"/>
    <w:rsid w:val="00E75C53"/>
    <w:rsid w:val="00E76752"/>
    <w:rsid w:val="00E8042A"/>
    <w:rsid w:val="00E81838"/>
    <w:rsid w:val="00E843F4"/>
    <w:rsid w:val="00E8443F"/>
    <w:rsid w:val="00E84479"/>
    <w:rsid w:val="00E9034F"/>
    <w:rsid w:val="00E93358"/>
    <w:rsid w:val="00E93AF7"/>
    <w:rsid w:val="00E94238"/>
    <w:rsid w:val="00E977FB"/>
    <w:rsid w:val="00EA21E1"/>
    <w:rsid w:val="00EA291E"/>
    <w:rsid w:val="00EA3892"/>
    <w:rsid w:val="00EA38D7"/>
    <w:rsid w:val="00EA56C8"/>
    <w:rsid w:val="00EA5C8F"/>
    <w:rsid w:val="00EA5DEB"/>
    <w:rsid w:val="00EB0CAD"/>
    <w:rsid w:val="00EB422B"/>
    <w:rsid w:val="00EB6796"/>
    <w:rsid w:val="00EB7CDD"/>
    <w:rsid w:val="00EC0425"/>
    <w:rsid w:val="00EC0465"/>
    <w:rsid w:val="00EC1B31"/>
    <w:rsid w:val="00EC2281"/>
    <w:rsid w:val="00EC2C6E"/>
    <w:rsid w:val="00EC3004"/>
    <w:rsid w:val="00EC3127"/>
    <w:rsid w:val="00EC3C30"/>
    <w:rsid w:val="00EC3E72"/>
    <w:rsid w:val="00EC5595"/>
    <w:rsid w:val="00EC5AD6"/>
    <w:rsid w:val="00EC5E96"/>
    <w:rsid w:val="00EC6C87"/>
    <w:rsid w:val="00ED2A92"/>
    <w:rsid w:val="00ED67B2"/>
    <w:rsid w:val="00ED6B76"/>
    <w:rsid w:val="00ED716E"/>
    <w:rsid w:val="00EE0D1C"/>
    <w:rsid w:val="00EE51F4"/>
    <w:rsid w:val="00EE5A6F"/>
    <w:rsid w:val="00EE72D5"/>
    <w:rsid w:val="00EE7418"/>
    <w:rsid w:val="00EF0829"/>
    <w:rsid w:val="00EF1193"/>
    <w:rsid w:val="00EF14F9"/>
    <w:rsid w:val="00EF1797"/>
    <w:rsid w:val="00EF40E9"/>
    <w:rsid w:val="00EF4381"/>
    <w:rsid w:val="00EF66CD"/>
    <w:rsid w:val="00EF6C25"/>
    <w:rsid w:val="00EF75CB"/>
    <w:rsid w:val="00F002A0"/>
    <w:rsid w:val="00F0086D"/>
    <w:rsid w:val="00F023C2"/>
    <w:rsid w:val="00F0478C"/>
    <w:rsid w:val="00F07B29"/>
    <w:rsid w:val="00F10105"/>
    <w:rsid w:val="00F10456"/>
    <w:rsid w:val="00F10D25"/>
    <w:rsid w:val="00F10D90"/>
    <w:rsid w:val="00F11D84"/>
    <w:rsid w:val="00F11DC7"/>
    <w:rsid w:val="00F12FED"/>
    <w:rsid w:val="00F1452F"/>
    <w:rsid w:val="00F16198"/>
    <w:rsid w:val="00F16405"/>
    <w:rsid w:val="00F1732E"/>
    <w:rsid w:val="00F17BAE"/>
    <w:rsid w:val="00F17FEE"/>
    <w:rsid w:val="00F20E87"/>
    <w:rsid w:val="00F21501"/>
    <w:rsid w:val="00F21EEC"/>
    <w:rsid w:val="00F25E61"/>
    <w:rsid w:val="00F26043"/>
    <w:rsid w:val="00F26953"/>
    <w:rsid w:val="00F27166"/>
    <w:rsid w:val="00F2743E"/>
    <w:rsid w:val="00F27EB1"/>
    <w:rsid w:val="00F31B11"/>
    <w:rsid w:val="00F32819"/>
    <w:rsid w:val="00F330A4"/>
    <w:rsid w:val="00F34C62"/>
    <w:rsid w:val="00F35439"/>
    <w:rsid w:val="00F37DE9"/>
    <w:rsid w:val="00F40DB5"/>
    <w:rsid w:val="00F42034"/>
    <w:rsid w:val="00F4204A"/>
    <w:rsid w:val="00F43F15"/>
    <w:rsid w:val="00F44D06"/>
    <w:rsid w:val="00F45270"/>
    <w:rsid w:val="00F4599F"/>
    <w:rsid w:val="00F45B44"/>
    <w:rsid w:val="00F469B0"/>
    <w:rsid w:val="00F46F15"/>
    <w:rsid w:val="00F51DE0"/>
    <w:rsid w:val="00F524DC"/>
    <w:rsid w:val="00F52A53"/>
    <w:rsid w:val="00F53DDC"/>
    <w:rsid w:val="00F55E68"/>
    <w:rsid w:val="00F56117"/>
    <w:rsid w:val="00F56B4F"/>
    <w:rsid w:val="00F56FAC"/>
    <w:rsid w:val="00F5716D"/>
    <w:rsid w:val="00F60561"/>
    <w:rsid w:val="00F63177"/>
    <w:rsid w:val="00F63F07"/>
    <w:rsid w:val="00F64C7D"/>
    <w:rsid w:val="00F6527D"/>
    <w:rsid w:val="00F65BC1"/>
    <w:rsid w:val="00F66E94"/>
    <w:rsid w:val="00F66F77"/>
    <w:rsid w:val="00F709A3"/>
    <w:rsid w:val="00F72F99"/>
    <w:rsid w:val="00F732A3"/>
    <w:rsid w:val="00F73581"/>
    <w:rsid w:val="00F73798"/>
    <w:rsid w:val="00F75E86"/>
    <w:rsid w:val="00F80D30"/>
    <w:rsid w:val="00F81C9D"/>
    <w:rsid w:val="00F8330C"/>
    <w:rsid w:val="00F85290"/>
    <w:rsid w:val="00F8570E"/>
    <w:rsid w:val="00F86911"/>
    <w:rsid w:val="00F9008A"/>
    <w:rsid w:val="00F91021"/>
    <w:rsid w:val="00F92C40"/>
    <w:rsid w:val="00F92FDC"/>
    <w:rsid w:val="00F93BBE"/>
    <w:rsid w:val="00F9597D"/>
    <w:rsid w:val="00FA4123"/>
    <w:rsid w:val="00FA4C65"/>
    <w:rsid w:val="00FA5E4B"/>
    <w:rsid w:val="00FA6A61"/>
    <w:rsid w:val="00FB01AE"/>
    <w:rsid w:val="00FB02D0"/>
    <w:rsid w:val="00FB0633"/>
    <w:rsid w:val="00FB0EE8"/>
    <w:rsid w:val="00FB1864"/>
    <w:rsid w:val="00FB1DA9"/>
    <w:rsid w:val="00FB203D"/>
    <w:rsid w:val="00FB3AA0"/>
    <w:rsid w:val="00FB4152"/>
    <w:rsid w:val="00FB421F"/>
    <w:rsid w:val="00FB50E6"/>
    <w:rsid w:val="00FB5320"/>
    <w:rsid w:val="00FC04F1"/>
    <w:rsid w:val="00FC1526"/>
    <w:rsid w:val="00FC1D95"/>
    <w:rsid w:val="00FC241D"/>
    <w:rsid w:val="00FC491F"/>
    <w:rsid w:val="00FC4A2C"/>
    <w:rsid w:val="00FC5432"/>
    <w:rsid w:val="00FC548C"/>
    <w:rsid w:val="00FC5804"/>
    <w:rsid w:val="00FC7776"/>
    <w:rsid w:val="00FD0144"/>
    <w:rsid w:val="00FD1A19"/>
    <w:rsid w:val="00FD290D"/>
    <w:rsid w:val="00FD33C5"/>
    <w:rsid w:val="00FD4F88"/>
    <w:rsid w:val="00FD4FEB"/>
    <w:rsid w:val="00FD6294"/>
    <w:rsid w:val="00FE052E"/>
    <w:rsid w:val="00FE0AD8"/>
    <w:rsid w:val="00FE11EF"/>
    <w:rsid w:val="00FE124A"/>
    <w:rsid w:val="00FE1B61"/>
    <w:rsid w:val="00FE1E64"/>
    <w:rsid w:val="00FE2A2E"/>
    <w:rsid w:val="00FE4300"/>
    <w:rsid w:val="00FE4A1A"/>
    <w:rsid w:val="00FE56BC"/>
    <w:rsid w:val="00FF01BA"/>
    <w:rsid w:val="00FF0F99"/>
    <w:rsid w:val="00FF1572"/>
    <w:rsid w:val="00FF1D79"/>
    <w:rsid w:val="00FF23BE"/>
    <w:rsid w:val="00FF327B"/>
    <w:rsid w:val="00FF483E"/>
    <w:rsid w:val="00FF5118"/>
    <w:rsid w:val="00FF6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rules v:ext="edit">
        <o:r id="V:Rule4" type="connector" idref="#_x0000_s1093"/>
        <o:r id="V:Rule5" type="connector" idref="#_x0000_s1092"/>
        <o:r id="V:Rule6" type="connector" idref="#_x0000_s1091"/>
      </o:rules>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6E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6E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178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818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7AE"/>
    <w:pPr>
      <w:ind w:left="720"/>
      <w:contextualSpacing/>
    </w:pPr>
  </w:style>
  <w:style w:type="character" w:customStyle="1" w:styleId="st1">
    <w:name w:val="st1"/>
    <w:basedOn w:val="DefaultParagraphFont"/>
    <w:rsid w:val="002C14FF"/>
  </w:style>
  <w:style w:type="character" w:customStyle="1" w:styleId="apple-style-span">
    <w:name w:val="apple-style-span"/>
    <w:basedOn w:val="DefaultParagraphFont"/>
    <w:rsid w:val="00F732A3"/>
  </w:style>
  <w:style w:type="table" w:styleId="TableGrid">
    <w:name w:val="Table Grid"/>
    <w:basedOn w:val="TableNormal"/>
    <w:uiPriority w:val="59"/>
    <w:rsid w:val="00F73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0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1CA"/>
    <w:rPr>
      <w:rFonts w:ascii="Tahoma" w:hAnsi="Tahoma" w:cs="Tahoma"/>
      <w:sz w:val="16"/>
      <w:szCs w:val="16"/>
    </w:rPr>
  </w:style>
  <w:style w:type="paragraph" w:styleId="Header">
    <w:name w:val="header"/>
    <w:basedOn w:val="Normal"/>
    <w:link w:val="HeaderChar"/>
    <w:uiPriority w:val="99"/>
    <w:unhideWhenUsed/>
    <w:rsid w:val="00257CF0"/>
    <w:pPr>
      <w:tabs>
        <w:tab w:val="center" w:pos="4677"/>
        <w:tab w:val="right" w:pos="9355"/>
      </w:tabs>
      <w:spacing w:after="0" w:line="240" w:lineRule="auto"/>
    </w:pPr>
  </w:style>
  <w:style w:type="character" w:customStyle="1" w:styleId="HeaderChar">
    <w:name w:val="Header Char"/>
    <w:basedOn w:val="DefaultParagraphFont"/>
    <w:link w:val="Header"/>
    <w:uiPriority w:val="99"/>
    <w:rsid w:val="00257CF0"/>
  </w:style>
  <w:style w:type="paragraph" w:styleId="Footer">
    <w:name w:val="footer"/>
    <w:basedOn w:val="Normal"/>
    <w:link w:val="FooterChar"/>
    <w:uiPriority w:val="99"/>
    <w:unhideWhenUsed/>
    <w:rsid w:val="00257CF0"/>
    <w:pPr>
      <w:tabs>
        <w:tab w:val="center" w:pos="4677"/>
        <w:tab w:val="right" w:pos="9355"/>
      </w:tabs>
      <w:spacing w:after="0" w:line="240" w:lineRule="auto"/>
    </w:pPr>
  </w:style>
  <w:style w:type="character" w:customStyle="1" w:styleId="FooterChar">
    <w:name w:val="Footer Char"/>
    <w:basedOn w:val="DefaultParagraphFont"/>
    <w:link w:val="Footer"/>
    <w:uiPriority w:val="99"/>
    <w:rsid w:val="00257CF0"/>
  </w:style>
  <w:style w:type="paragraph" w:styleId="NoSpacing">
    <w:name w:val="No Spacing"/>
    <w:uiPriority w:val="1"/>
    <w:qFormat/>
    <w:rsid w:val="003C1BE0"/>
    <w:pPr>
      <w:spacing w:after="0" w:line="240" w:lineRule="auto"/>
    </w:pPr>
  </w:style>
  <w:style w:type="character" w:styleId="CommentReference">
    <w:name w:val="annotation reference"/>
    <w:basedOn w:val="DefaultParagraphFont"/>
    <w:uiPriority w:val="99"/>
    <w:semiHidden/>
    <w:unhideWhenUsed/>
    <w:rsid w:val="008444EF"/>
    <w:rPr>
      <w:sz w:val="16"/>
      <w:szCs w:val="16"/>
    </w:rPr>
  </w:style>
  <w:style w:type="paragraph" w:styleId="CommentText">
    <w:name w:val="annotation text"/>
    <w:basedOn w:val="Normal"/>
    <w:link w:val="CommentTextChar"/>
    <w:uiPriority w:val="99"/>
    <w:unhideWhenUsed/>
    <w:rsid w:val="008444EF"/>
    <w:pPr>
      <w:spacing w:line="240" w:lineRule="auto"/>
    </w:pPr>
    <w:rPr>
      <w:sz w:val="20"/>
      <w:szCs w:val="20"/>
    </w:rPr>
  </w:style>
  <w:style w:type="character" w:customStyle="1" w:styleId="CommentTextChar">
    <w:name w:val="Comment Text Char"/>
    <w:basedOn w:val="DefaultParagraphFont"/>
    <w:link w:val="CommentText"/>
    <w:uiPriority w:val="99"/>
    <w:rsid w:val="008444EF"/>
    <w:rPr>
      <w:sz w:val="20"/>
      <w:szCs w:val="20"/>
    </w:rPr>
  </w:style>
  <w:style w:type="paragraph" w:styleId="CommentSubject">
    <w:name w:val="annotation subject"/>
    <w:basedOn w:val="CommentText"/>
    <w:next w:val="CommentText"/>
    <w:link w:val="CommentSubjectChar"/>
    <w:uiPriority w:val="99"/>
    <w:semiHidden/>
    <w:unhideWhenUsed/>
    <w:rsid w:val="008444EF"/>
    <w:rPr>
      <w:b/>
      <w:bCs/>
    </w:rPr>
  </w:style>
  <w:style w:type="character" w:customStyle="1" w:styleId="CommentSubjectChar">
    <w:name w:val="Comment Subject Char"/>
    <w:basedOn w:val="CommentTextChar"/>
    <w:link w:val="CommentSubject"/>
    <w:uiPriority w:val="99"/>
    <w:semiHidden/>
    <w:rsid w:val="008444EF"/>
    <w:rPr>
      <w:b/>
      <w:bCs/>
      <w:sz w:val="20"/>
      <w:szCs w:val="20"/>
    </w:rPr>
  </w:style>
  <w:style w:type="character" w:styleId="Hyperlink">
    <w:name w:val="Hyperlink"/>
    <w:basedOn w:val="DefaultParagraphFont"/>
    <w:uiPriority w:val="99"/>
    <w:unhideWhenUsed/>
    <w:rsid w:val="00B1066A"/>
    <w:rPr>
      <w:color w:val="0000FF"/>
      <w:u w:val="single"/>
    </w:rPr>
  </w:style>
  <w:style w:type="character" w:customStyle="1" w:styleId="Heading1Char">
    <w:name w:val="Heading 1 Char"/>
    <w:basedOn w:val="DefaultParagraphFont"/>
    <w:link w:val="Heading1"/>
    <w:uiPriority w:val="9"/>
    <w:rsid w:val="00CC6E5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C6E5E"/>
    <w:pPr>
      <w:outlineLvl w:val="9"/>
    </w:pPr>
  </w:style>
  <w:style w:type="paragraph" w:styleId="TOC2">
    <w:name w:val="toc 2"/>
    <w:basedOn w:val="Normal"/>
    <w:next w:val="Normal"/>
    <w:autoRedefine/>
    <w:uiPriority w:val="39"/>
    <w:unhideWhenUsed/>
    <w:qFormat/>
    <w:rsid w:val="00CC6E5E"/>
    <w:pPr>
      <w:spacing w:after="100"/>
      <w:ind w:left="220"/>
    </w:pPr>
  </w:style>
  <w:style w:type="paragraph" w:styleId="TOC1">
    <w:name w:val="toc 1"/>
    <w:basedOn w:val="Normal"/>
    <w:next w:val="Normal"/>
    <w:autoRedefine/>
    <w:uiPriority w:val="39"/>
    <w:unhideWhenUsed/>
    <w:qFormat/>
    <w:rsid w:val="00CC6E5E"/>
    <w:pPr>
      <w:spacing w:after="100"/>
    </w:pPr>
  </w:style>
  <w:style w:type="paragraph" w:styleId="TOC3">
    <w:name w:val="toc 3"/>
    <w:basedOn w:val="Normal"/>
    <w:next w:val="Normal"/>
    <w:autoRedefine/>
    <w:uiPriority w:val="39"/>
    <w:unhideWhenUsed/>
    <w:qFormat/>
    <w:rsid w:val="00CC6E5E"/>
    <w:pPr>
      <w:spacing w:after="100"/>
      <w:ind w:left="440"/>
    </w:pPr>
  </w:style>
  <w:style w:type="character" w:customStyle="1" w:styleId="Heading2Char">
    <w:name w:val="Heading 2 Char"/>
    <w:basedOn w:val="DefaultParagraphFont"/>
    <w:link w:val="Heading2"/>
    <w:uiPriority w:val="9"/>
    <w:rsid w:val="00CC6E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178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81838"/>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FB3A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3AA0"/>
    <w:rPr>
      <w:sz w:val="20"/>
      <w:szCs w:val="20"/>
    </w:rPr>
  </w:style>
  <w:style w:type="character" w:styleId="FootnoteReference">
    <w:name w:val="footnote reference"/>
    <w:basedOn w:val="DefaultParagraphFont"/>
    <w:uiPriority w:val="99"/>
    <w:semiHidden/>
    <w:unhideWhenUsed/>
    <w:rsid w:val="00FB3AA0"/>
    <w:rPr>
      <w:vertAlign w:val="superscript"/>
    </w:rPr>
  </w:style>
  <w:style w:type="paragraph" w:styleId="EndnoteText">
    <w:name w:val="endnote text"/>
    <w:basedOn w:val="Normal"/>
    <w:link w:val="EndnoteTextChar"/>
    <w:uiPriority w:val="99"/>
    <w:semiHidden/>
    <w:unhideWhenUsed/>
    <w:rsid w:val="002E1E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1E20"/>
    <w:rPr>
      <w:sz w:val="20"/>
      <w:szCs w:val="20"/>
    </w:rPr>
  </w:style>
  <w:style w:type="character" w:styleId="EndnoteReference">
    <w:name w:val="endnote reference"/>
    <w:basedOn w:val="DefaultParagraphFont"/>
    <w:uiPriority w:val="99"/>
    <w:semiHidden/>
    <w:unhideWhenUsed/>
    <w:rsid w:val="002E1E20"/>
    <w:rPr>
      <w:vertAlign w:val="superscript"/>
    </w:rPr>
  </w:style>
  <w:style w:type="paragraph" w:customStyle="1" w:styleId="Default">
    <w:name w:val="Default"/>
    <w:rsid w:val="0078269B"/>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FollowedHyperlink">
    <w:name w:val="FollowedHyperlink"/>
    <w:basedOn w:val="DefaultParagraphFont"/>
    <w:uiPriority w:val="99"/>
    <w:semiHidden/>
    <w:unhideWhenUsed/>
    <w:rsid w:val="00EA5DEB"/>
    <w:rPr>
      <w:color w:val="800080" w:themeColor="followedHyperlink"/>
      <w:u w:val="single"/>
    </w:rPr>
  </w:style>
  <w:style w:type="character" w:styleId="HTMLCite">
    <w:name w:val="HTML Cite"/>
    <w:basedOn w:val="DefaultParagraphFont"/>
    <w:uiPriority w:val="99"/>
    <w:semiHidden/>
    <w:unhideWhenUsed/>
    <w:rsid w:val="009B1016"/>
    <w:rPr>
      <w:i/>
      <w:iCs/>
    </w:rPr>
  </w:style>
  <w:style w:type="character" w:customStyle="1" w:styleId="apple-converted-space">
    <w:name w:val="apple-converted-space"/>
    <w:basedOn w:val="DefaultParagraphFont"/>
    <w:rsid w:val="009B1016"/>
  </w:style>
  <w:style w:type="paragraph" w:styleId="Revision">
    <w:name w:val="Revision"/>
    <w:hidden/>
    <w:uiPriority w:val="99"/>
    <w:semiHidden/>
    <w:rsid w:val="00513144"/>
    <w:pPr>
      <w:spacing w:after="0" w:line="240" w:lineRule="auto"/>
    </w:pPr>
  </w:style>
  <w:style w:type="character" w:styleId="PlaceholderText">
    <w:name w:val="Placeholder Text"/>
    <w:basedOn w:val="DefaultParagraphFont"/>
    <w:uiPriority w:val="99"/>
    <w:semiHidden/>
    <w:rsid w:val="00D64ED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6E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6E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178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818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7AE"/>
    <w:pPr>
      <w:ind w:left="720"/>
      <w:contextualSpacing/>
    </w:pPr>
  </w:style>
  <w:style w:type="character" w:customStyle="1" w:styleId="st1">
    <w:name w:val="st1"/>
    <w:basedOn w:val="DefaultParagraphFont"/>
    <w:rsid w:val="002C14FF"/>
  </w:style>
  <w:style w:type="character" w:customStyle="1" w:styleId="apple-style-span">
    <w:name w:val="apple-style-span"/>
    <w:basedOn w:val="DefaultParagraphFont"/>
    <w:rsid w:val="00F732A3"/>
  </w:style>
  <w:style w:type="table" w:styleId="TableGrid">
    <w:name w:val="Table Grid"/>
    <w:basedOn w:val="TableNormal"/>
    <w:uiPriority w:val="59"/>
    <w:rsid w:val="00F73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0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1CA"/>
    <w:rPr>
      <w:rFonts w:ascii="Tahoma" w:hAnsi="Tahoma" w:cs="Tahoma"/>
      <w:sz w:val="16"/>
      <w:szCs w:val="16"/>
    </w:rPr>
  </w:style>
  <w:style w:type="paragraph" w:styleId="Header">
    <w:name w:val="header"/>
    <w:basedOn w:val="Normal"/>
    <w:link w:val="HeaderChar"/>
    <w:uiPriority w:val="99"/>
    <w:unhideWhenUsed/>
    <w:rsid w:val="00257CF0"/>
    <w:pPr>
      <w:tabs>
        <w:tab w:val="center" w:pos="4677"/>
        <w:tab w:val="right" w:pos="9355"/>
      </w:tabs>
      <w:spacing w:after="0" w:line="240" w:lineRule="auto"/>
    </w:pPr>
  </w:style>
  <w:style w:type="character" w:customStyle="1" w:styleId="HeaderChar">
    <w:name w:val="Header Char"/>
    <w:basedOn w:val="DefaultParagraphFont"/>
    <w:link w:val="Header"/>
    <w:uiPriority w:val="99"/>
    <w:rsid w:val="00257CF0"/>
  </w:style>
  <w:style w:type="paragraph" w:styleId="Footer">
    <w:name w:val="footer"/>
    <w:basedOn w:val="Normal"/>
    <w:link w:val="FooterChar"/>
    <w:uiPriority w:val="99"/>
    <w:unhideWhenUsed/>
    <w:rsid w:val="00257CF0"/>
    <w:pPr>
      <w:tabs>
        <w:tab w:val="center" w:pos="4677"/>
        <w:tab w:val="right" w:pos="9355"/>
      </w:tabs>
      <w:spacing w:after="0" w:line="240" w:lineRule="auto"/>
    </w:pPr>
  </w:style>
  <w:style w:type="character" w:customStyle="1" w:styleId="FooterChar">
    <w:name w:val="Footer Char"/>
    <w:basedOn w:val="DefaultParagraphFont"/>
    <w:link w:val="Footer"/>
    <w:uiPriority w:val="99"/>
    <w:rsid w:val="00257CF0"/>
  </w:style>
  <w:style w:type="paragraph" w:styleId="NoSpacing">
    <w:name w:val="No Spacing"/>
    <w:uiPriority w:val="1"/>
    <w:qFormat/>
    <w:rsid w:val="003C1BE0"/>
    <w:pPr>
      <w:spacing w:after="0" w:line="240" w:lineRule="auto"/>
    </w:pPr>
  </w:style>
  <w:style w:type="character" w:styleId="CommentReference">
    <w:name w:val="annotation reference"/>
    <w:basedOn w:val="DefaultParagraphFont"/>
    <w:uiPriority w:val="99"/>
    <w:semiHidden/>
    <w:unhideWhenUsed/>
    <w:rsid w:val="008444EF"/>
    <w:rPr>
      <w:sz w:val="16"/>
      <w:szCs w:val="16"/>
    </w:rPr>
  </w:style>
  <w:style w:type="paragraph" w:styleId="CommentText">
    <w:name w:val="annotation text"/>
    <w:basedOn w:val="Normal"/>
    <w:link w:val="CommentTextChar"/>
    <w:uiPriority w:val="99"/>
    <w:unhideWhenUsed/>
    <w:rsid w:val="008444EF"/>
    <w:pPr>
      <w:spacing w:line="240" w:lineRule="auto"/>
    </w:pPr>
    <w:rPr>
      <w:sz w:val="20"/>
      <w:szCs w:val="20"/>
    </w:rPr>
  </w:style>
  <w:style w:type="character" w:customStyle="1" w:styleId="CommentTextChar">
    <w:name w:val="Comment Text Char"/>
    <w:basedOn w:val="DefaultParagraphFont"/>
    <w:link w:val="CommentText"/>
    <w:uiPriority w:val="99"/>
    <w:rsid w:val="008444EF"/>
    <w:rPr>
      <w:sz w:val="20"/>
      <w:szCs w:val="20"/>
    </w:rPr>
  </w:style>
  <w:style w:type="paragraph" w:styleId="CommentSubject">
    <w:name w:val="annotation subject"/>
    <w:basedOn w:val="CommentText"/>
    <w:next w:val="CommentText"/>
    <w:link w:val="CommentSubjectChar"/>
    <w:uiPriority w:val="99"/>
    <w:semiHidden/>
    <w:unhideWhenUsed/>
    <w:rsid w:val="008444EF"/>
    <w:rPr>
      <w:b/>
      <w:bCs/>
    </w:rPr>
  </w:style>
  <w:style w:type="character" w:customStyle="1" w:styleId="CommentSubjectChar">
    <w:name w:val="Comment Subject Char"/>
    <w:basedOn w:val="CommentTextChar"/>
    <w:link w:val="CommentSubject"/>
    <w:uiPriority w:val="99"/>
    <w:semiHidden/>
    <w:rsid w:val="008444EF"/>
    <w:rPr>
      <w:b/>
      <w:bCs/>
      <w:sz w:val="20"/>
      <w:szCs w:val="20"/>
    </w:rPr>
  </w:style>
  <w:style w:type="character" w:styleId="Hyperlink">
    <w:name w:val="Hyperlink"/>
    <w:basedOn w:val="DefaultParagraphFont"/>
    <w:uiPriority w:val="99"/>
    <w:unhideWhenUsed/>
    <w:rsid w:val="00B1066A"/>
    <w:rPr>
      <w:color w:val="0000FF"/>
      <w:u w:val="single"/>
    </w:rPr>
  </w:style>
  <w:style w:type="character" w:customStyle="1" w:styleId="Heading1Char">
    <w:name w:val="Heading 1 Char"/>
    <w:basedOn w:val="DefaultParagraphFont"/>
    <w:link w:val="Heading1"/>
    <w:uiPriority w:val="9"/>
    <w:rsid w:val="00CC6E5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C6E5E"/>
    <w:pPr>
      <w:outlineLvl w:val="9"/>
    </w:pPr>
  </w:style>
  <w:style w:type="paragraph" w:styleId="TOC2">
    <w:name w:val="toc 2"/>
    <w:basedOn w:val="Normal"/>
    <w:next w:val="Normal"/>
    <w:autoRedefine/>
    <w:uiPriority w:val="39"/>
    <w:unhideWhenUsed/>
    <w:qFormat/>
    <w:rsid w:val="00CC6E5E"/>
    <w:pPr>
      <w:spacing w:after="100"/>
      <w:ind w:left="220"/>
    </w:pPr>
  </w:style>
  <w:style w:type="paragraph" w:styleId="TOC1">
    <w:name w:val="toc 1"/>
    <w:basedOn w:val="Normal"/>
    <w:next w:val="Normal"/>
    <w:autoRedefine/>
    <w:uiPriority w:val="39"/>
    <w:unhideWhenUsed/>
    <w:qFormat/>
    <w:rsid w:val="00CC6E5E"/>
    <w:pPr>
      <w:spacing w:after="100"/>
    </w:pPr>
  </w:style>
  <w:style w:type="paragraph" w:styleId="TOC3">
    <w:name w:val="toc 3"/>
    <w:basedOn w:val="Normal"/>
    <w:next w:val="Normal"/>
    <w:autoRedefine/>
    <w:uiPriority w:val="39"/>
    <w:unhideWhenUsed/>
    <w:qFormat/>
    <w:rsid w:val="00CC6E5E"/>
    <w:pPr>
      <w:spacing w:after="100"/>
      <w:ind w:left="440"/>
    </w:pPr>
  </w:style>
  <w:style w:type="character" w:customStyle="1" w:styleId="Heading2Char">
    <w:name w:val="Heading 2 Char"/>
    <w:basedOn w:val="DefaultParagraphFont"/>
    <w:link w:val="Heading2"/>
    <w:uiPriority w:val="9"/>
    <w:rsid w:val="00CC6E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178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81838"/>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FB3A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3AA0"/>
    <w:rPr>
      <w:sz w:val="20"/>
      <w:szCs w:val="20"/>
    </w:rPr>
  </w:style>
  <w:style w:type="character" w:styleId="FootnoteReference">
    <w:name w:val="footnote reference"/>
    <w:basedOn w:val="DefaultParagraphFont"/>
    <w:uiPriority w:val="99"/>
    <w:semiHidden/>
    <w:unhideWhenUsed/>
    <w:rsid w:val="00FB3AA0"/>
    <w:rPr>
      <w:vertAlign w:val="superscript"/>
    </w:rPr>
  </w:style>
  <w:style w:type="paragraph" w:styleId="EndnoteText">
    <w:name w:val="endnote text"/>
    <w:basedOn w:val="Normal"/>
    <w:link w:val="EndnoteTextChar"/>
    <w:uiPriority w:val="99"/>
    <w:semiHidden/>
    <w:unhideWhenUsed/>
    <w:rsid w:val="002E1E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1E20"/>
    <w:rPr>
      <w:sz w:val="20"/>
      <w:szCs w:val="20"/>
    </w:rPr>
  </w:style>
  <w:style w:type="character" w:styleId="EndnoteReference">
    <w:name w:val="endnote reference"/>
    <w:basedOn w:val="DefaultParagraphFont"/>
    <w:uiPriority w:val="99"/>
    <w:semiHidden/>
    <w:unhideWhenUsed/>
    <w:rsid w:val="002E1E20"/>
    <w:rPr>
      <w:vertAlign w:val="superscript"/>
    </w:rPr>
  </w:style>
  <w:style w:type="paragraph" w:customStyle="1" w:styleId="Default">
    <w:name w:val="Default"/>
    <w:rsid w:val="0078269B"/>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FollowedHyperlink">
    <w:name w:val="FollowedHyperlink"/>
    <w:basedOn w:val="DefaultParagraphFont"/>
    <w:uiPriority w:val="99"/>
    <w:semiHidden/>
    <w:unhideWhenUsed/>
    <w:rsid w:val="00EA5DEB"/>
    <w:rPr>
      <w:color w:val="800080" w:themeColor="followedHyperlink"/>
      <w:u w:val="single"/>
    </w:rPr>
  </w:style>
  <w:style w:type="character" w:styleId="HTMLCite">
    <w:name w:val="HTML Cite"/>
    <w:basedOn w:val="DefaultParagraphFont"/>
    <w:uiPriority w:val="99"/>
    <w:semiHidden/>
    <w:unhideWhenUsed/>
    <w:rsid w:val="009B1016"/>
    <w:rPr>
      <w:i/>
      <w:iCs/>
    </w:rPr>
  </w:style>
  <w:style w:type="character" w:customStyle="1" w:styleId="apple-converted-space">
    <w:name w:val="apple-converted-space"/>
    <w:basedOn w:val="DefaultParagraphFont"/>
    <w:rsid w:val="009B1016"/>
  </w:style>
  <w:style w:type="paragraph" w:styleId="Revision">
    <w:name w:val="Revision"/>
    <w:hidden/>
    <w:uiPriority w:val="99"/>
    <w:semiHidden/>
    <w:rsid w:val="00513144"/>
    <w:pPr>
      <w:spacing w:after="0" w:line="240" w:lineRule="auto"/>
    </w:pPr>
  </w:style>
  <w:style w:type="character" w:styleId="PlaceholderText">
    <w:name w:val="Placeholder Text"/>
    <w:basedOn w:val="DefaultParagraphFont"/>
    <w:uiPriority w:val="99"/>
    <w:semiHidden/>
    <w:rsid w:val="00D64E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3650">
      <w:bodyDiv w:val="1"/>
      <w:marLeft w:val="0"/>
      <w:marRight w:val="0"/>
      <w:marTop w:val="0"/>
      <w:marBottom w:val="0"/>
      <w:divBdr>
        <w:top w:val="none" w:sz="0" w:space="0" w:color="auto"/>
        <w:left w:val="none" w:sz="0" w:space="0" w:color="auto"/>
        <w:bottom w:val="none" w:sz="0" w:space="0" w:color="auto"/>
        <w:right w:val="none" w:sz="0" w:space="0" w:color="auto"/>
      </w:divBdr>
    </w:div>
    <w:div w:id="48115885">
      <w:bodyDiv w:val="1"/>
      <w:marLeft w:val="0"/>
      <w:marRight w:val="0"/>
      <w:marTop w:val="0"/>
      <w:marBottom w:val="0"/>
      <w:divBdr>
        <w:top w:val="none" w:sz="0" w:space="0" w:color="auto"/>
        <w:left w:val="none" w:sz="0" w:space="0" w:color="auto"/>
        <w:bottom w:val="none" w:sz="0" w:space="0" w:color="auto"/>
        <w:right w:val="none" w:sz="0" w:space="0" w:color="auto"/>
      </w:divBdr>
    </w:div>
    <w:div w:id="65080519">
      <w:bodyDiv w:val="1"/>
      <w:marLeft w:val="0"/>
      <w:marRight w:val="0"/>
      <w:marTop w:val="0"/>
      <w:marBottom w:val="0"/>
      <w:divBdr>
        <w:top w:val="none" w:sz="0" w:space="0" w:color="auto"/>
        <w:left w:val="none" w:sz="0" w:space="0" w:color="auto"/>
        <w:bottom w:val="none" w:sz="0" w:space="0" w:color="auto"/>
        <w:right w:val="none" w:sz="0" w:space="0" w:color="auto"/>
      </w:divBdr>
    </w:div>
    <w:div w:id="393043986">
      <w:bodyDiv w:val="1"/>
      <w:marLeft w:val="0"/>
      <w:marRight w:val="0"/>
      <w:marTop w:val="0"/>
      <w:marBottom w:val="0"/>
      <w:divBdr>
        <w:top w:val="none" w:sz="0" w:space="0" w:color="auto"/>
        <w:left w:val="none" w:sz="0" w:space="0" w:color="auto"/>
        <w:bottom w:val="none" w:sz="0" w:space="0" w:color="auto"/>
        <w:right w:val="none" w:sz="0" w:space="0" w:color="auto"/>
      </w:divBdr>
    </w:div>
    <w:div w:id="470371009">
      <w:bodyDiv w:val="1"/>
      <w:marLeft w:val="0"/>
      <w:marRight w:val="0"/>
      <w:marTop w:val="0"/>
      <w:marBottom w:val="0"/>
      <w:divBdr>
        <w:top w:val="none" w:sz="0" w:space="0" w:color="auto"/>
        <w:left w:val="none" w:sz="0" w:space="0" w:color="auto"/>
        <w:bottom w:val="none" w:sz="0" w:space="0" w:color="auto"/>
        <w:right w:val="none" w:sz="0" w:space="0" w:color="auto"/>
      </w:divBdr>
    </w:div>
    <w:div w:id="476067449">
      <w:bodyDiv w:val="1"/>
      <w:marLeft w:val="0"/>
      <w:marRight w:val="0"/>
      <w:marTop w:val="0"/>
      <w:marBottom w:val="0"/>
      <w:divBdr>
        <w:top w:val="none" w:sz="0" w:space="0" w:color="auto"/>
        <w:left w:val="none" w:sz="0" w:space="0" w:color="auto"/>
        <w:bottom w:val="none" w:sz="0" w:space="0" w:color="auto"/>
        <w:right w:val="none" w:sz="0" w:space="0" w:color="auto"/>
      </w:divBdr>
    </w:div>
    <w:div w:id="937978917">
      <w:bodyDiv w:val="1"/>
      <w:marLeft w:val="0"/>
      <w:marRight w:val="0"/>
      <w:marTop w:val="0"/>
      <w:marBottom w:val="0"/>
      <w:divBdr>
        <w:top w:val="none" w:sz="0" w:space="0" w:color="auto"/>
        <w:left w:val="none" w:sz="0" w:space="0" w:color="auto"/>
        <w:bottom w:val="none" w:sz="0" w:space="0" w:color="auto"/>
        <w:right w:val="none" w:sz="0" w:space="0" w:color="auto"/>
      </w:divBdr>
    </w:div>
    <w:div w:id="941649922">
      <w:bodyDiv w:val="1"/>
      <w:marLeft w:val="0"/>
      <w:marRight w:val="0"/>
      <w:marTop w:val="0"/>
      <w:marBottom w:val="0"/>
      <w:divBdr>
        <w:top w:val="none" w:sz="0" w:space="0" w:color="auto"/>
        <w:left w:val="none" w:sz="0" w:space="0" w:color="auto"/>
        <w:bottom w:val="none" w:sz="0" w:space="0" w:color="auto"/>
        <w:right w:val="none" w:sz="0" w:space="0" w:color="auto"/>
      </w:divBdr>
    </w:div>
    <w:div w:id="989865326">
      <w:bodyDiv w:val="1"/>
      <w:marLeft w:val="0"/>
      <w:marRight w:val="0"/>
      <w:marTop w:val="0"/>
      <w:marBottom w:val="0"/>
      <w:divBdr>
        <w:top w:val="none" w:sz="0" w:space="0" w:color="auto"/>
        <w:left w:val="none" w:sz="0" w:space="0" w:color="auto"/>
        <w:bottom w:val="none" w:sz="0" w:space="0" w:color="auto"/>
        <w:right w:val="none" w:sz="0" w:space="0" w:color="auto"/>
      </w:divBdr>
    </w:div>
    <w:div w:id="1091469193">
      <w:bodyDiv w:val="1"/>
      <w:marLeft w:val="0"/>
      <w:marRight w:val="0"/>
      <w:marTop w:val="0"/>
      <w:marBottom w:val="0"/>
      <w:divBdr>
        <w:top w:val="none" w:sz="0" w:space="0" w:color="auto"/>
        <w:left w:val="none" w:sz="0" w:space="0" w:color="auto"/>
        <w:bottom w:val="none" w:sz="0" w:space="0" w:color="auto"/>
        <w:right w:val="none" w:sz="0" w:space="0" w:color="auto"/>
      </w:divBdr>
    </w:div>
    <w:div w:id="1337852590">
      <w:bodyDiv w:val="1"/>
      <w:marLeft w:val="0"/>
      <w:marRight w:val="0"/>
      <w:marTop w:val="0"/>
      <w:marBottom w:val="0"/>
      <w:divBdr>
        <w:top w:val="none" w:sz="0" w:space="0" w:color="auto"/>
        <w:left w:val="none" w:sz="0" w:space="0" w:color="auto"/>
        <w:bottom w:val="none" w:sz="0" w:space="0" w:color="auto"/>
        <w:right w:val="none" w:sz="0" w:space="0" w:color="auto"/>
      </w:divBdr>
    </w:div>
    <w:div w:id="1398087205">
      <w:bodyDiv w:val="1"/>
      <w:marLeft w:val="0"/>
      <w:marRight w:val="0"/>
      <w:marTop w:val="0"/>
      <w:marBottom w:val="0"/>
      <w:divBdr>
        <w:top w:val="none" w:sz="0" w:space="0" w:color="auto"/>
        <w:left w:val="none" w:sz="0" w:space="0" w:color="auto"/>
        <w:bottom w:val="none" w:sz="0" w:space="0" w:color="auto"/>
        <w:right w:val="none" w:sz="0" w:space="0" w:color="auto"/>
      </w:divBdr>
    </w:div>
    <w:div w:id="1451972648">
      <w:bodyDiv w:val="1"/>
      <w:marLeft w:val="0"/>
      <w:marRight w:val="0"/>
      <w:marTop w:val="0"/>
      <w:marBottom w:val="0"/>
      <w:divBdr>
        <w:top w:val="none" w:sz="0" w:space="0" w:color="auto"/>
        <w:left w:val="none" w:sz="0" w:space="0" w:color="auto"/>
        <w:bottom w:val="none" w:sz="0" w:space="0" w:color="auto"/>
        <w:right w:val="none" w:sz="0" w:space="0" w:color="auto"/>
      </w:divBdr>
    </w:div>
    <w:div w:id="1585920309">
      <w:bodyDiv w:val="1"/>
      <w:marLeft w:val="0"/>
      <w:marRight w:val="0"/>
      <w:marTop w:val="0"/>
      <w:marBottom w:val="0"/>
      <w:divBdr>
        <w:top w:val="none" w:sz="0" w:space="0" w:color="auto"/>
        <w:left w:val="none" w:sz="0" w:space="0" w:color="auto"/>
        <w:bottom w:val="none" w:sz="0" w:space="0" w:color="auto"/>
        <w:right w:val="none" w:sz="0" w:space="0" w:color="auto"/>
      </w:divBdr>
      <w:divsChild>
        <w:div w:id="786004730">
          <w:marLeft w:val="0"/>
          <w:marRight w:val="0"/>
          <w:marTop w:val="0"/>
          <w:marBottom w:val="150"/>
          <w:divBdr>
            <w:top w:val="none" w:sz="0" w:space="0" w:color="auto"/>
            <w:left w:val="none" w:sz="0" w:space="0" w:color="auto"/>
            <w:bottom w:val="none" w:sz="0" w:space="0" w:color="auto"/>
            <w:right w:val="none" w:sz="0" w:space="0" w:color="auto"/>
          </w:divBdr>
        </w:div>
        <w:div w:id="1763069363">
          <w:marLeft w:val="105"/>
          <w:marRight w:val="105"/>
          <w:marTop w:val="0"/>
          <w:marBottom w:val="135"/>
          <w:divBdr>
            <w:top w:val="none" w:sz="0" w:space="0" w:color="auto"/>
            <w:left w:val="none" w:sz="0" w:space="0" w:color="auto"/>
            <w:bottom w:val="none" w:sz="0" w:space="0" w:color="auto"/>
            <w:right w:val="none" w:sz="0" w:space="0" w:color="auto"/>
          </w:divBdr>
          <w:divsChild>
            <w:div w:id="1836991816">
              <w:marLeft w:val="0"/>
              <w:marRight w:val="0"/>
              <w:marTop w:val="0"/>
              <w:marBottom w:val="0"/>
              <w:divBdr>
                <w:top w:val="none" w:sz="0" w:space="0" w:color="auto"/>
                <w:left w:val="none" w:sz="0" w:space="0" w:color="auto"/>
                <w:bottom w:val="none" w:sz="0" w:space="0" w:color="auto"/>
                <w:right w:val="none" w:sz="0" w:space="0" w:color="auto"/>
              </w:divBdr>
              <w:divsChild>
                <w:div w:id="1023432810">
                  <w:marLeft w:val="0"/>
                  <w:marRight w:val="0"/>
                  <w:marTop w:val="0"/>
                  <w:marBottom w:val="135"/>
                  <w:divBdr>
                    <w:top w:val="none" w:sz="0" w:space="0" w:color="auto"/>
                    <w:left w:val="none" w:sz="0" w:space="0" w:color="auto"/>
                    <w:bottom w:val="none" w:sz="0" w:space="0" w:color="auto"/>
                    <w:right w:val="none" w:sz="0" w:space="0" w:color="auto"/>
                  </w:divBdr>
                  <w:divsChild>
                    <w:div w:id="1566715872">
                      <w:marLeft w:val="135"/>
                      <w:marRight w:val="135"/>
                      <w:marTop w:val="0"/>
                      <w:marBottom w:val="0"/>
                      <w:divBdr>
                        <w:top w:val="none" w:sz="0" w:space="0" w:color="auto"/>
                        <w:left w:val="none" w:sz="0" w:space="0" w:color="auto"/>
                        <w:bottom w:val="none" w:sz="0" w:space="0" w:color="auto"/>
                        <w:right w:val="none" w:sz="0" w:space="0" w:color="auto"/>
                      </w:divBdr>
                      <w:divsChild>
                        <w:div w:id="11647080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713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07883">
      <w:bodyDiv w:val="1"/>
      <w:marLeft w:val="0"/>
      <w:marRight w:val="0"/>
      <w:marTop w:val="0"/>
      <w:marBottom w:val="0"/>
      <w:divBdr>
        <w:top w:val="none" w:sz="0" w:space="0" w:color="auto"/>
        <w:left w:val="none" w:sz="0" w:space="0" w:color="auto"/>
        <w:bottom w:val="none" w:sz="0" w:space="0" w:color="auto"/>
        <w:right w:val="none" w:sz="0" w:space="0" w:color="auto"/>
      </w:divBdr>
    </w:div>
    <w:div w:id="1766878899">
      <w:bodyDiv w:val="1"/>
      <w:marLeft w:val="0"/>
      <w:marRight w:val="0"/>
      <w:marTop w:val="0"/>
      <w:marBottom w:val="0"/>
      <w:divBdr>
        <w:top w:val="none" w:sz="0" w:space="0" w:color="auto"/>
        <w:left w:val="none" w:sz="0" w:space="0" w:color="auto"/>
        <w:bottom w:val="none" w:sz="0" w:space="0" w:color="auto"/>
        <w:right w:val="none" w:sz="0" w:space="0" w:color="auto"/>
      </w:divBdr>
    </w:div>
    <w:div w:id="1870530636">
      <w:bodyDiv w:val="1"/>
      <w:marLeft w:val="0"/>
      <w:marRight w:val="0"/>
      <w:marTop w:val="0"/>
      <w:marBottom w:val="0"/>
      <w:divBdr>
        <w:top w:val="none" w:sz="0" w:space="0" w:color="auto"/>
        <w:left w:val="none" w:sz="0" w:space="0" w:color="auto"/>
        <w:bottom w:val="none" w:sz="0" w:space="0" w:color="auto"/>
        <w:right w:val="none" w:sz="0" w:space="0" w:color="auto"/>
      </w:divBdr>
    </w:div>
    <w:div w:id="19160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m.gov.my/index.php?ch=li_islamic&amp;pg=li_banking_asianfinance&amp;ac=83&amp;cat=islamic&amp;type=IB&amp;lang=en" TargetMode="External"/><Relationship Id="rId18" Type="http://schemas.openxmlformats.org/officeDocument/2006/relationships/hyperlink" Target="http://www.bnm.gov.my/index.php?ch=li_islamic&amp;pg=li_banking_hl&amp;ac=77&amp;cat=islamic&amp;type=IB&amp;lang=en" TargetMode="External"/><Relationship Id="rId26" Type="http://schemas.openxmlformats.org/officeDocument/2006/relationships/hyperlink" Target="https://openknowledge.worldbank.org/bitstream/handle/10986/3929/WPS5446.pdf?sequence=1" TargetMode="External"/><Relationship Id="rId39" Type="http://schemas.openxmlformats.org/officeDocument/2006/relationships/hyperlink" Target="http://eprints.utar.edu.my/583/1/BF-2012-0905796-1.pdf" TargetMode="External"/><Relationship Id="rId3" Type="http://schemas.openxmlformats.org/officeDocument/2006/relationships/styles" Target="styles.xml"/><Relationship Id="rId21" Type="http://schemas.openxmlformats.org/officeDocument/2006/relationships/hyperlink" Target="http://www.bnm.gov.my/index.php?ch=li_islamic&amp;pg=li_banking_ocbcalamin&amp;ac=95&amp;cat=islamic&amp;type=IB&amp;lang=en" TargetMode="External"/><Relationship Id="rId34" Type="http://schemas.openxmlformats.org/officeDocument/2006/relationships/hyperlink" Target="http://papers.ssrn.com/sol3/papers.cfm?abstract_id=1750689"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nm.gov.my/index.php?ch=li_islamic&amp;pg=li_banking_amislamic&amp;ac=81&amp;cat=islamic&amp;type=IB&amp;lang=en" TargetMode="External"/><Relationship Id="rId17" Type="http://schemas.openxmlformats.org/officeDocument/2006/relationships/hyperlink" Target="http://www.bnm.gov.my/index.php?ch=li_islamic&amp;pg=li_banking_hsbcam&amp;ac=92&amp;cat=islamic&amp;type=IB&amp;lang=en" TargetMode="External"/><Relationship Id="rId25" Type="http://schemas.openxmlformats.org/officeDocument/2006/relationships/hyperlink" Target="http://www.failaka.com/downloads/Profitability_Islamic_Banking.pdf" TargetMode="External"/><Relationship Id="rId33" Type="http://schemas.openxmlformats.org/officeDocument/2006/relationships/hyperlink" Target="http://www.imf.org/external/pubs/ft/wp/wp9830.pdf" TargetMode="External"/><Relationship Id="rId38" Type="http://schemas.openxmlformats.org/officeDocument/2006/relationships/hyperlink" Target="http://dx.doi.org/10.1108/1753839101109324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nm.gov.my/index.php?ch=li_islamic&amp;pg=li_banking_cimbislamic&amp;ac=76&amp;cat=islamic&amp;type=IB&amp;lang=en" TargetMode="External"/><Relationship Id="rId20" Type="http://schemas.openxmlformats.org/officeDocument/2006/relationships/hyperlink" Target="http://www.bnm.gov.my/index.php?ch=li_islamic&amp;pg=li_banking_maybankislamic&amp;ac=88&amp;cat=islamic&amp;type=IB&amp;lang=en" TargetMode="External"/><Relationship Id="rId29" Type="http://schemas.openxmlformats.org/officeDocument/2006/relationships/hyperlink" Target="http://www.imf.org/external/pubs/ft/wp/2011/wp11156.pdf" TargetMode="External"/><Relationship Id="rId41" Type="http://schemas.openxmlformats.org/officeDocument/2006/relationships/hyperlink" Target="http://www.mafhoum.com/press6/174E1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m.gov.my/index.php?ch=li_islamic&amp;pg=li_banking_allianceislam&amp;ac=90&amp;cat=islamic&amp;type=IB&amp;lang=en" TargetMode="External"/><Relationship Id="rId24" Type="http://schemas.openxmlformats.org/officeDocument/2006/relationships/hyperlink" Target="http://www.bnm.gov.my/index.php?ch=li_islamic&amp;pg=li_banking_stanchartsaadiq&amp;ac=93&amp;cat=islamic&amp;type=IB&amp;lang=en" TargetMode="External"/><Relationship Id="rId32" Type="http://schemas.openxmlformats.org/officeDocument/2006/relationships/hyperlink" Target="http://www.lariba.com/dev/knowledge-center/islamic-banking-guide.pdf" TargetMode="External"/><Relationship Id="rId37" Type="http://schemas.openxmlformats.org/officeDocument/2006/relationships/hyperlink" Target="http://www.dtic.mil/cgi-bin/GetTRDoc?Location=U2&amp;doc=GetTRDoc.pdf&amp;AD=ADA484714" TargetMode="External"/><Relationship Id="rId40" Type="http://schemas.openxmlformats.org/officeDocument/2006/relationships/hyperlink" Target="http://www.ipedr.com/vol5/no1/38-H00085.pdf"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nm.gov.my/index.php?ch=li_islamic&amp;pg=li_banking_muamalat&amp;ac=27&amp;cat=islamic&amp;type=IB&amp;lang=en" TargetMode="External"/><Relationship Id="rId23" Type="http://schemas.openxmlformats.org/officeDocument/2006/relationships/hyperlink" Target="http://www.bnm.gov.my/index.php?ch=li_islamic&amp;pg=li_banking_rhbislamic&amp;ac=75&amp;cat=islamic&amp;type=IB&amp;lang=en" TargetMode="External"/><Relationship Id="rId28" Type="http://schemas.openxmlformats.org/officeDocument/2006/relationships/hyperlink" Target="http://www.bnm.gov.my/index.php?ch=li&amp;cat=islamic&amp;type=IB&amp;fund=0&amp;cu=0" TargetMode="External"/><Relationship Id="rId36" Type="http://schemas.openxmlformats.org/officeDocument/2006/relationships/hyperlink" Target="http://www.worldcommercereview.com/publications/article_pdf/105" TargetMode="External"/><Relationship Id="rId10" Type="http://schemas.openxmlformats.org/officeDocument/2006/relationships/hyperlink" Target="http://www.bnm.gov.my/index.php?ch=li_islamic&amp;pg=li_banking_rajhi&amp;ac=82&amp;cat=islamic&amp;type=IB&amp;lang=en" TargetMode="External"/><Relationship Id="rId19" Type="http://schemas.openxmlformats.org/officeDocument/2006/relationships/hyperlink" Target="http://www.bnm.gov.my/index.php?ch=li_islamic&amp;pg=li_banking_kfh&amp;ac=78&amp;cat=islamic&amp;type=IB&amp;lang=en" TargetMode="External"/><Relationship Id="rId31" Type="http://schemas.openxmlformats.org/officeDocument/2006/relationships/hyperlink" Target="http://dx.doi.org/10.1108/17538391011093261"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bnm.gov.my/index.php?ch=li_islamic&amp;pg=li_banking_affinislamic&amp;ac=80&amp;cat=islamic&amp;type=IB&amp;lang=en" TargetMode="External"/><Relationship Id="rId14" Type="http://schemas.openxmlformats.org/officeDocument/2006/relationships/hyperlink" Target="http://www.bnm.gov.my/index.php?ch=li_islamic&amp;pg=li_banking_islam&amp;ac=26&amp;cat=islamic&amp;type=IB&amp;lang=en" TargetMode="External"/><Relationship Id="rId22" Type="http://schemas.openxmlformats.org/officeDocument/2006/relationships/hyperlink" Target="http://www.bnm.gov.my/index.php?ch=li_islamic&amp;pg=li_banking_publicislamic&amp;ac=94&amp;cat=islamic&amp;type=IB&amp;lang=en" TargetMode="External"/><Relationship Id="rId27" Type="http://schemas.openxmlformats.org/officeDocument/2006/relationships/hyperlink" Target="http://r-cube.ritsumei.ac.jp/bitstream/10367/2589/1/Bintawim%20Samar%20Saud%20S..pdf" TargetMode="External"/><Relationship Id="rId30" Type="http://schemas.openxmlformats.org/officeDocument/2006/relationships/hyperlink" Target="http://www.isdbforum.org/presentationPapers/5-M_Umer_Chapra.pdf" TargetMode="External"/><Relationship Id="rId35" Type="http://schemas.openxmlformats.org/officeDocument/2006/relationships/hyperlink" Target="http://nzibo.com/IB2/Determinants.pdf"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F7B44-A20E-469E-AB41-6F99446C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8141</Words>
  <Characters>46404</Characters>
  <Application>Microsoft Office Word</Application>
  <DocSecurity>4</DocSecurity>
  <Lines>386</Lines>
  <Paragraphs>108</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MultiDVD Team</Company>
  <LinksUpToDate>false</LinksUpToDate>
  <CharactersWithSpaces>54437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Parviz</dc:creator>
  <cp:lastModifiedBy>Taylor, Zyna</cp:lastModifiedBy>
  <cp:revision>2</cp:revision>
  <cp:lastPrinted>2012-12-05T16:36:00Z</cp:lastPrinted>
  <dcterms:created xsi:type="dcterms:W3CDTF">2013-01-28T23:00:00Z</dcterms:created>
  <dcterms:modified xsi:type="dcterms:W3CDTF">2013-01-28T23:00:00Z</dcterms:modified>
</cp:coreProperties>
</file>